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921"/>
        <w:gridCol w:w="1026"/>
        <w:gridCol w:w="831"/>
        <w:gridCol w:w="90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P/K</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195,649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195,649</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102.2761</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8,242,509</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$102.2761 per share. The Swap is scheduled to terminate on March 2, 2028, at which time the Swap will be cash-settled. Under the terms of the Swap, at maturity: (i)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Lake Michigan Limited is the party to the reported transaction and direct "holder" of the "notional" shares. LBS Limited is a party to previously reported swap transactions that provide an aggregate position in 7,453,418 "notional" shares. As owner of Lake Michigan Limited and LBS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4150</Characters>
  <CharactersWithSpaces>4866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