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346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34657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80" w:type="dxa"/>
            <w:vAlign w:val="bottom"/>
            <w:gridSpan w:val="2"/>
            <w:vMerge w:val="restart"/>
          </w:tcPr>
          <w:p>
            <w:pPr>
              <w:spacing w:after="0"/>
              <w:rPr>
                <w:rFonts w:ascii="Times New Roman" w:cs="Times New Roman" w:eastAsia="Times New Roman" w:hAnsi="Times New Roman"/>
                <w:sz w:val="20"/>
                <w:szCs w:val="20"/>
                <w:color w:val="0000EE"/>
                <w:w w:val="98"/>
              </w:rPr>
            </w:pPr>
            <w:hyperlink r:id="rId13">
              <w:r>
                <w:rPr>
                  <w:rFonts w:ascii="Times New Roman" w:cs="Times New Roman" w:eastAsia="Times New Roman" w:hAnsi="Times New Roman"/>
                  <w:sz w:val="20"/>
                  <w:szCs w:val="20"/>
                  <w:color w:val="0000EE"/>
                  <w:w w:val="98"/>
                </w:rPr>
                <w:t>DART KENNETH BRYAN</w:t>
              </w:r>
            </w:hyperlink>
          </w:p>
        </w:tc>
        <w:tc>
          <w:tcPr>
            <w:tcW w:w="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Flutter Entertainment plc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FLUT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2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6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2280" w:type="dxa"/>
            <w:vAlign w:val="bottom"/>
            <w:tcBorders>
              <w:bottom w:val="single" w:sz="8" w:color="0000EE"/>
            </w:tcBorders>
            <w:gridSpan w:val="2"/>
            <w:vMerge w:val="continue"/>
          </w:tcPr>
          <w:p>
            <w:pPr>
              <w:spacing w:after="0"/>
              <w:rPr>
                <w:sz w:val="5"/>
                <w:szCs w:val="5"/>
                <w:color w:val="auto"/>
              </w:rPr>
            </w:pPr>
          </w:p>
        </w:tc>
        <w:tc>
          <w:tcPr>
            <w:tcW w:w="14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280" w:type="dxa"/>
            <w:vAlign w:val="bottom"/>
            <w:gridSpan w:val="2"/>
          </w:tcPr>
          <w:p>
            <w:pPr>
              <w:spacing w:after="0"/>
              <w:rPr>
                <w:sz w:val="6"/>
                <w:szCs w:val="6"/>
                <w:color w:val="auto"/>
              </w:rPr>
            </w:pPr>
          </w:p>
        </w:tc>
        <w:tc>
          <w:tcPr>
            <w:tcW w:w="14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1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240" w:type="dxa"/>
            <w:vAlign w:val="bottom"/>
            <w:gridSpan w:val="2"/>
            <w:vMerge w:val="restart"/>
          </w:tcPr>
          <w:p>
            <w:pPr>
              <w:ind w:left="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2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04/08/2026</w:t>
            </w:r>
          </w:p>
        </w:tc>
        <w:tc>
          <w:tcPr>
            <w:tcW w:w="17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5"/>
              </w:rPr>
              <w:t>P. O. BOX 31300</w:t>
            </w: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00" w:type="dxa"/>
            <w:vAlign w:val="bottom"/>
            <w:gridSpan w:val="3"/>
            <w:vMerge w:val="continue"/>
          </w:tcPr>
          <w:p>
            <w:pPr>
              <w:spacing w:after="0"/>
              <w:rPr>
                <w:sz w:val="10"/>
                <w:szCs w:val="10"/>
                <w:color w:val="auto"/>
              </w:rPr>
            </w:pPr>
          </w:p>
        </w:tc>
        <w:tc>
          <w:tcPr>
            <w:tcW w:w="17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tcPr>
          <w:p>
            <w:pPr>
              <w:spacing w:after="0"/>
              <w:rPr>
                <w:sz w:val="11"/>
                <w:szCs w:val="11"/>
                <w:color w:val="auto"/>
              </w:rPr>
            </w:pPr>
          </w:p>
        </w:tc>
        <w:tc>
          <w:tcPr>
            <w:tcW w:w="3280" w:type="dxa"/>
            <w:vAlign w:val="bottom"/>
            <w:tcBorders>
              <w:bottom w:val="single" w:sz="8" w:color="2C2C2C"/>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18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2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5"/>
        </w:trPr>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40" w:type="dxa"/>
            <w:vAlign w:val="bottom"/>
            <w:gridSpan w:val="3"/>
            <w:vMerge w:val="continue"/>
          </w:tcPr>
          <w:p>
            <w:pPr>
              <w:spacing w:after="0"/>
              <w:rPr>
                <w:sz w:val="9"/>
                <w:szCs w:val="9"/>
                <w:color w:val="auto"/>
              </w:rPr>
            </w:pPr>
          </w:p>
        </w:tc>
        <w:tc>
          <w:tcPr>
            <w:tcW w:w="32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220" w:type="dxa"/>
            <w:vAlign w:val="bottom"/>
            <w:gridSpan w:val="3"/>
            <w:vMerge w:val="continue"/>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20" w:type="dxa"/>
            <w:vAlign w:val="bottom"/>
          </w:tcPr>
          <w:p>
            <w:pPr>
              <w:ind w:left="60"/>
              <w:spacing w:after="0"/>
              <w:rPr>
                <w:sz w:val="20"/>
                <w:szCs w:val="20"/>
                <w:color w:val="auto"/>
              </w:rPr>
            </w:pPr>
            <w:r>
              <w:rPr>
                <w:rFonts w:ascii="Arial" w:cs="Arial" w:eastAsia="Arial" w:hAnsi="Arial"/>
                <w:sz w:val="13"/>
                <w:szCs w:val="13"/>
                <w:color w:val="auto"/>
              </w:rPr>
              <w:t>Line)</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6" w:right="359" w:bottom="1440" w:gutter="0" w:footer="0" w:header="0"/>
          <w:type w:val="continuous"/>
        </w:sectPr>
      </w:pPr>
    </w:p>
    <w:p>
      <w:pPr>
        <w:ind w:left="120"/>
        <w:spacing w:after="0" w:line="187" w:lineRule="auto"/>
        <w:tabs>
          <w:tab w:leader="none" w:pos="1320" w:val="left"/>
        </w:tabs>
        <w:rPr>
          <w:sz w:val="20"/>
          <w:szCs w:val="20"/>
          <w:color w:val="auto"/>
        </w:rPr>
      </w:pPr>
      <w:r>
        <w:rPr>
          <w:rFonts w:ascii="Times New Roman" w:cs="Times New Roman" w:eastAsia="Times New Roman" w:hAnsi="Times New Roman"/>
          <w:sz w:val="13"/>
          <w:szCs w:val="13"/>
          <w:color w:val="0000FF"/>
        </w:rPr>
        <w:t>GRAND</w:t>
      </w:r>
      <w:r>
        <w:rPr>
          <w:sz w:val="20"/>
          <w:szCs w:val="20"/>
          <w:color w:val="auto"/>
        </w:rPr>
        <w:tab/>
      </w:r>
      <w:r>
        <w:rPr>
          <w:rFonts w:ascii="Times New Roman" w:cs="Times New Roman" w:eastAsia="Times New Roman" w:hAnsi="Times New Roman"/>
          <w:sz w:val="23"/>
          <w:szCs w:val="23"/>
          <w:color w:val="0000FF"/>
          <w:vertAlign w:val="subscript"/>
        </w:rPr>
        <w:t>E9</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CAYMAN</w:t>
      </w:r>
    </w:p>
    <w:p>
      <w:pPr>
        <w:spacing w:after="0" w:line="295"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4"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Total</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308,200</w:t>
            </w:r>
          </w:p>
        </w:tc>
        <w:tc>
          <w:tcPr>
            <w:tcW w:w="680" w:type="dxa"/>
            <w:vAlign w:val="bottom"/>
          </w:tcPr>
          <w:p>
            <w:pPr>
              <w:spacing w:after="0"/>
              <w:rPr>
                <w:sz w:val="15"/>
                <w:szCs w:val="15"/>
                <w:color w:val="auto"/>
              </w:rPr>
            </w:pPr>
          </w:p>
        </w:tc>
        <w:tc>
          <w:tcPr>
            <w:tcW w:w="9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9,460,484</w:t>
            </w:r>
            <w:r>
              <w:rPr>
                <w:rFonts w:ascii="Times New Roman" w:cs="Times New Roman" w:eastAsia="Times New Roman" w:hAnsi="Times New Roman"/>
                <w:sz w:val="21"/>
                <w:szCs w:val="21"/>
                <w:color w:val="008000"/>
                <w:vertAlign w:val="superscript"/>
              </w:rPr>
              <w:t>(2)</w:t>
            </w:r>
          </w:p>
        </w:tc>
        <w:tc>
          <w:tcPr>
            <w:tcW w:w="720" w:type="dxa"/>
            <w:vAlign w:val="bottom"/>
          </w:tcPr>
          <w:p>
            <w:pPr>
              <w:spacing w:after="0"/>
              <w:rPr>
                <w:sz w:val="15"/>
                <w:szCs w:val="15"/>
                <w:color w:val="auto"/>
              </w:rPr>
            </w:pP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Return</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40" w:lineRule="exact"/>
              <w:rPr>
                <w:sz w:val="20"/>
                <w:szCs w:val="20"/>
                <w:color w:val="auto"/>
              </w:rPr>
            </w:pPr>
            <w:r>
              <w:rPr>
                <w:rFonts w:ascii="Times New Roman" w:cs="Times New Roman" w:eastAsia="Times New Roman" w:hAnsi="Times New Roman"/>
                <w:sz w:val="13"/>
                <w:szCs w:val="13"/>
                <w:color w:val="0000FF"/>
              </w:rPr>
              <w:t>04/08/2026</w:t>
            </w:r>
          </w:p>
        </w:tc>
        <w:tc>
          <w:tcPr>
            <w:tcW w:w="1080" w:type="dxa"/>
            <w:vAlign w:val="bottom"/>
          </w:tcPr>
          <w:p>
            <w:pPr>
              <w:spacing w:after="0"/>
              <w:rPr>
                <w:sz w:val="12"/>
                <w:szCs w:val="12"/>
                <w:color w:val="auto"/>
              </w:rPr>
            </w:pPr>
          </w:p>
        </w:tc>
        <w:tc>
          <w:tcPr>
            <w:tcW w:w="78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P/K</w:t>
            </w:r>
          </w:p>
        </w:tc>
        <w:tc>
          <w:tcPr>
            <w:tcW w:w="64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308,200</w:t>
            </w:r>
          </w:p>
        </w:tc>
        <w:tc>
          <w:tcPr>
            <w:tcW w:w="220" w:type="dxa"/>
            <w:vAlign w:val="bottom"/>
          </w:tcPr>
          <w:p>
            <w:pPr>
              <w:spacing w:after="0"/>
              <w:rPr>
                <w:sz w:val="12"/>
                <w:szCs w:val="12"/>
                <w:color w:val="auto"/>
              </w:rPr>
            </w:pPr>
          </w:p>
        </w:tc>
        <w:tc>
          <w:tcPr>
            <w:tcW w:w="78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03/02/2028</w:t>
            </w:r>
          </w:p>
        </w:tc>
        <w:tc>
          <w:tcPr>
            <w:tcW w:w="70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03/02/2028</w:t>
            </w:r>
          </w:p>
        </w:tc>
        <w:tc>
          <w:tcPr>
            <w:tcW w:w="6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109.2013</w:t>
            </w:r>
          </w:p>
        </w:tc>
        <w:tc>
          <w:tcPr>
            <w:tcW w:w="920" w:type="dxa"/>
            <w:vAlign w:val="bottom"/>
            <w:vMerge w:val="continue"/>
          </w:tcPr>
          <w:p>
            <w:pPr>
              <w:spacing w:after="0"/>
              <w:rPr>
                <w:sz w:val="12"/>
                <w:szCs w:val="12"/>
                <w:color w:val="auto"/>
              </w:rPr>
            </w:pPr>
          </w:p>
        </w:tc>
        <w:tc>
          <w:tcPr>
            <w:tcW w:w="72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I</w:t>
            </w:r>
          </w:p>
        </w:tc>
        <w:tc>
          <w:tcPr>
            <w:tcW w:w="480" w:type="dxa"/>
            <w:vAlign w:val="bottom"/>
            <w:vMerge w:val="continue"/>
          </w:tcPr>
          <w:p>
            <w:pPr>
              <w:spacing w:after="0"/>
              <w:rPr>
                <w:sz w:val="12"/>
                <w:szCs w:val="12"/>
                <w:color w:val="auto"/>
              </w:rPr>
            </w:pPr>
          </w:p>
        </w:tc>
        <w:tc>
          <w:tcPr>
            <w:tcW w:w="26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008000"/>
                <w:w w:val="93"/>
              </w:rPr>
              <w:t>(2)</w:t>
            </w:r>
          </w:p>
        </w:tc>
        <w:tc>
          <w:tcPr>
            <w:tcW w:w="0" w:type="dxa"/>
            <w:vAlign w:val="bottom"/>
          </w:tcPr>
          <w:p>
            <w:pPr>
              <w:spacing w:after="0"/>
              <w:rPr>
                <w:sz w:val="1"/>
                <w:szCs w:val="1"/>
                <w:color w:val="auto"/>
              </w:rPr>
            </w:pPr>
          </w:p>
        </w:tc>
      </w:tr>
      <w:tr>
        <w:trPr>
          <w:trHeight w:val="12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Swap</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w w:val="92"/>
              </w:rPr>
              <w:t>footnote</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jc w:val="both"/>
        <w:ind w:left="40" w:right="260"/>
        <w:spacing w:after="0" w:line="259"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reference price for the Swap is $109.2013 per share. The Swap is scheduled to terminate on March 2, 2028, at which time the Swap will be cash-settled. Under the terms of the Swap, at maturity: (i) the Reporting Person will be obligated to pay to the counterparty any decrease in the market price of the referenced shares below the reference price, and (ii) the counterparty will be obligated to pay the Reporting Person any increase in the market price of the referenced shares above the reference price. The Swap requires the Reporting Person to pay monthly interest to the counterparty on the financing leg of the Swap at a rate based on OBFR. Additionally, the Reporting Person is entitled to receive payments from the counterparty equal to any dividends paid on the referenced shares during the term of the Swap.</w:t>
      </w:r>
    </w:p>
    <w:p>
      <w:pPr>
        <w:spacing w:after="0" w:line="14" w:lineRule="exact"/>
        <w:rPr>
          <w:rFonts w:ascii="Times New Roman" w:cs="Times New Roman" w:eastAsia="Times New Roman" w:hAnsi="Times New Roman"/>
          <w:sz w:val="12"/>
          <w:szCs w:val="12"/>
          <w:color w:val="008000"/>
        </w:rPr>
      </w:pPr>
    </w:p>
    <w:p>
      <w:pPr>
        <w:ind w:left="40" w:right="20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Lake Michigan Limited is the party to the reported transaction and direct "holder" of the "notional" shares. LBS Limited is a party to previously reported swap transactions that provide an aggregate position in 7,453,418 "notional" shares. As owner of Lake Michigan Limited and LBS Limited, Mr. Dart may be deemed to beneficially own the reported securities but disclaims such beneficial ownership except to the extent of his pecuniary interest therein.</w:t>
      </w:r>
    </w:p>
    <w:p>
      <w:pPr>
        <w:spacing w:after="0" w:line="34"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/s/Kenneth B Dart</w:t>
            </w:r>
          </w:p>
        </w:tc>
        <w:tc>
          <w:tcPr>
            <w:tcW w:w="100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2"/>
              </w:rPr>
              <w:t>04/10/2026</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31271" TargetMode="External"/><Relationship Id="rId14" Type="http://schemas.openxmlformats.org/officeDocument/2006/relationships/hyperlink" Target="http://www.sec.gov/cgi-bin/browse-edgar?action=getcompany&amp;CIK=0001635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2026-04-10T16:04:06Z</dcterms:created>
  <dcterms:modified xsi:type="dcterms:W3CDTF">2026-04-10T16:04:06Z</dcterms:modified>
</cp:coreProperties>
</file>