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SUSMAN SALLY</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Flutter Entertainment plc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FLUT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FLUTTER ENTERTAINMENT PLC</w:t>
            </w: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MADISON AVENUE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2,071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2,071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will vest on the earlier of (i) June 2, 2027 and (ii) the day prior to the first regularly scheduled annual meeting of the stockholders of the Issuer following the grant date but no earlier than 50 weeks from the date of grant, in each case, subject to the director's continued service through and including such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Rebecca Sweeney,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3544"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2026-06-03T08:20:16Z</dcterms:created>
  <dcterms:modified xsi:type="dcterms:W3CDTF">2026-06-03T08:20:16Z</dcterms:modified>
</cp:coreProperties>
</file>