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Flutter Entertainment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1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001-37403</w:t>
            </w:r>
          </w:p>
        </w:tc>
        <w:tc>
          <w:tcPr>
            <w:tcW w:w="268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98-1782229</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2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2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52"/>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One Madison Avenue</w:t>
            </w:r>
          </w:p>
        </w:tc>
        <w:tc>
          <w:tcPr>
            <w:tcW w:w="3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7"/>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930-0950</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of €0.09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FLUT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28, 2025, Flutter Entertainment plc released, via the Regulatory News Service in London, an announcement (the “RNS Announcement”) stating that it will issue its third quarter 2025 financial results and host a webcast and conference call on November 12, 2025, which is furnished as Exhibit 99.1 to this Form 8-K and is incorporated herein by reference. The RNS Announcement was made in order to comply with disclosure requirements pursuant to the United Kingdom Financial Conduct Authority’s Disclosure Guidance and Transparency Rules.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RNS Announcement dated October 28,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of this Current Report on Form 8-K, formatted in Inline XBRL</w:t>
      </w:r>
    </w:p>
    <w:p>
      <w:pPr>
        <w:sectPr>
          <w:pgSz w:w="11900" w:h="16838" w:orient="portrait"/>
          <w:cols w:equalWidth="0" w:num="1">
            <w:col w:w="10740"/>
          </w:cols>
          <w:pgMar w:left="440" w:top="293" w:right="7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Flutter Entertainment plc</w:t>
            </w:r>
          </w:p>
        </w:tc>
      </w:t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Traynor</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Edward Traynor</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Group Company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173990</wp:posOffset>
            </wp:positionV>
            <wp:extent cx="5229225" cy="942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2922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to Report Third Quarter 2025 Update and Host a Conference Call on November 12,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2025</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Flutter Entertainment (“Flutter”) (NYSE:FLUT, LSE:FLTR), the leading online sports betting and iGaming operator, today announced that it will release its third quarter 2025 update after market close on November 12, 2025 at 4:05 p.m. EST (9:05 p.m. GMT). All related materials will be available through the “Investors” section of the Flutter website at </w:t>
      </w:r>
      <w:r>
        <w:rPr>
          <w:rFonts w:ascii="Times New Roman" w:cs="Times New Roman" w:eastAsia="Times New Roman" w:hAnsi="Times New Roman"/>
          <w:sz w:val="18"/>
          <w:szCs w:val="18"/>
          <w:u w:val="single" w:color="auto"/>
          <w:color w:val="auto"/>
        </w:rPr>
        <w:t>www.flutter.com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Flutter management will host a conference call on November 12, 2025 at 4:30 p.m. EST (9:30 p.m. GMT) to review the results and be available for questions, with access via webcast and telephone.</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A public audio webcast of management’s call and the related Q&amp;A can be accessed by registering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or via </w:t>
      </w:r>
      <w:r>
        <w:rPr>
          <w:rFonts w:ascii="Times New Roman" w:cs="Times New Roman" w:eastAsia="Times New Roman" w:hAnsi="Times New Roman"/>
          <w:sz w:val="18"/>
          <w:szCs w:val="18"/>
          <w:u w:val="single" w:color="auto"/>
          <w:color w:val="auto"/>
        </w:rPr>
        <w:t>www.flutter.com/investors</w:t>
      </w:r>
      <w:r>
        <w:rPr>
          <w:rFonts w:ascii="Times New Roman" w:cs="Times New Roman" w:eastAsia="Times New Roman" w:hAnsi="Times New Roman"/>
          <w:sz w:val="18"/>
          <w:szCs w:val="18"/>
          <w:color w:val="auto"/>
        </w:rPr>
        <w:t>. For those unable to listen to the live broadcast, a replay will be available approximately one hour after conclusion of the call.</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Analysts and investors who wish to participate in the live conference call must do so by dialling any of the numbers below and using conference ID 20251. Please dial in 10 minutes before the conference call begins.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+1 888 500 3691 (North America)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+44 800 358 0970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+353 1800 943926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1800 519 630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+1 646 307 1951 (International)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Flutter Entertainment plc</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Flutter is the world’s leading online sports betting and iGaming operator, with a market leading position in the US and across the world. Our ambition is to leverage our size and our challenger mindset to change our industry for the better. By Changing the Game, we believe we can deliver long-term growth while promoting a positive, sustainable future for all our stakeholders. We are well-placed to do so through the distinctive, global advantages of the Flutter Edge, which gives our brands access to group-wide benefits, as well as our clear vision for sustainability through our Positive Impact Plan.</w:t>
      </w:r>
    </w:p>
    <w:p>
      <w:pPr>
        <w:sectPr>
          <w:pgSz w:w="11900" w:h="16838" w:orient="portrait"/>
          <w:cols w:equalWidth="0" w:num="1">
            <w:col w:w="11020"/>
          </w:cols>
          <w:pgMar w:left="440" w:top="117" w:right="4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Flutter operates a diverse portfolio of leading online sports betting and iGaming brands including FanDuel, Sky Betting &amp; Gaming, Sportsbet, PokerStars, Paddy Power, Sisal, Snai, tombola, Betfair, MaxBet, Junglee Games, Adjarabet and Betnacional.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Flutter, please visit our website at </w:t>
      </w:r>
      <w:r>
        <w:rPr>
          <w:rFonts w:ascii="Times New Roman" w:cs="Times New Roman" w:eastAsia="Times New Roman" w:hAnsi="Times New Roman"/>
          <w:sz w:val="18"/>
          <w:szCs w:val="18"/>
          <w:u w:val="single" w:color="auto"/>
          <w:color w:val="auto"/>
        </w:rPr>
        <w:t>www.flutter.com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w:t>
      </w:r>
      <w:r>
        <w:rPr>
          <w:rFonts w:ascii="Times New Roman" w:cs="Times New Roman" w:eastAsia="Times New Roman" w:hAnsi="Times New Roman"/>
          <w:sz w:val="18"/>
          <w:szCs w:val="18"/>
          <w:u w:val="single" w:color="auto"/>
          <w:color w:val="auto"/>
        </w:rPr>
        <w:t>Investor.relations@flutter.com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Relations: </w:t>
      </w:r>
      <w:r>
        <w:rPr>
          <w:rFonts w:ascii="Times New Roman" w:cs="Times New Roman" w:eastAsia="Times New Roman" w:hAnsi="Times New Roman"/>
          <w:sz w:val="18"/>
          <w:szCs w:val="18"/>
          <w:u w:val="single" w:color="auto"/>
          <w:color w:val="auto"/>
        </w:rPr>
        <w:t>corporatecomms@flutter.com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160020</wp:posOffset>
            </wp:positionV>
            <wp:extent cx="522922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29225" cy="497205"/>
                    </a:xfrm>
                    <a:prstGeom prst="rect">
                      <a:avLst/>
                    </a:prstGeom>
                    <a:noFill/>
                  </pic:spPr>
                </pic:pic>
              </a:graphicData>
            </a:graphic>
          </wp:anchor>
        </w:drawing>
      </w:r>
    </w:p>
    <w:sectPr>
      <w:pgSz w:w="11900" w:h="16838" w:orient="portrait"/>
      <w:cols w:equalWidth="0" w:num="1">
        <w:col w:w="10240"/>
      </w:cols>
      <w:pgMar w:left="440" w:top="27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2025-10-28T11:36:04Z</dcterms:created>
  <dcterms:modified xsi:type="dcterms:W3CDTF">2025-10-28T11:36:04Z</dcterms:modified>
</cp:coreProperties>
</file>