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16"/>
        <w:gridCol w:w="1131"/>
        <w:gridCol w:w="831"/>
        <w:gridCol w:w="90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306,300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306,300</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99.3698</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18,906,130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$99.3698 per share. The Swap is scheduled to terminate on March 2, 2028, at which time the Swap will be cash-settled. Under the terms of the Swap, at maturity: (i)the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SOFR.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LBS Limited is the party to the reported transaction and direct "holder" of the "notional" shares. Lake Michigan Limited and LBS Limited were parties to previously reported swap transactions that provide an aggregate position in 18,599,830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4206</Characters>
  <CharactersWithSpaces>4918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