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16"/>
        <w:gridCol w:w="1131"/>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499,874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499,874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92.8258</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21,227,847</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$92.8258 per share. The Swap is scheduled to terminate on March 2, 2028, at which time the Swap will be cash-settled. Under the terms of the Swap, at maturity:(i)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Lake Michigan Limited and LBS Limited were parties to previously reported swap transactions that provide an aggregate position in 20,727,973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4215</Characters>
  <CharactersWithSpaces>4928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