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DART KENNETH BRYAN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31300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GRAND CAYMAN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CAYMAN ISLANDS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Flutter Entertainment plc</w:t>
              </w:r>
            </w:hyperlink>
            <w:r>
              <w:rPr/>
              <w:t xml:space="preserve"> [ </w:t>
            </w:r>
            <w:r>
              <w:rPr>
                <w:rFonts w:ascii="Times;serif" w:hAnsi="Times;serif"/>
                <w:color w:val="0000FF"/>
                <w:sz w:val="24"/>
                <w:shd w:fill="FFFFFF" w:val="clear"/>
              </w:rPr>
              <w:t>FLUT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9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16"/>
        <w:gridCol w:w="1131"/>
        <w:gridCol w:w="831"/>
        <w:gridCol w:w="906"/>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Total Return Swap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P/K</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51,595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03/02/2028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51,595</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97.1957</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21,767,973</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reference price for the Swap is $97.1957 per share. The Swap is scheduled to terminate on March 2, 2028, at which time the Swap will be cash-settled. Under the terms of the Swap, at maturity: (i) the Reporting Person will be obligated to pay to the counterparty any decrease in the market price of the referenced shares below the reference price, and (ii) the counterparty will be obligated to pay the Reporting Person any increase in the market price of the referenced shares above the reference price. The Swap requires the Reporting Person to pay monthly interest to the counterparty on the financing leg of the Swap at a rate based on OBFR. Additionally, the Reporting Person is entitled to receive payments from the counterparty equal to any dividends paid on the referenced shares during the term of the Swap.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Lake Michigan Limited is the party to the reported transaction and direct "holder" of the "notional" shares. Lake Michigan Limited and LBS Limited were parties to previously reported swap transactions that provide an aggregate position in 21,716,378 "notional" shares. As owner of LBS Limited and Lake Michigan Limited, Mr. Dart may be deemed to beneficially own the reported securities but disclaims such beneficial ownership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/s/Kenneth B Dart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1271" TargetMode="External"/><Relationship Id="rId5" Type="http://schemas.openxmlformats.org/officeDocument/2006/relationships/hyperlink" Target="http://www.sec.gov/cgi-bin/browse-edgar?action=getcompany&amp;CIK=0001635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785</Words>
  <Characters>4212</Characters>
  <CharactersWithSpaces>4926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