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84581d8k.htm"/>
      <w:bookmarkStart w:id="1" w:name="ksd48458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September 28,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Flutter Entertainment plc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705" w:type="dxa"/>
        <w:jc w:val="left"/>
        <w:tblInd w:w="0" w:type="dxa"/>
        <w:tblLayout w:type="fixed"/>
        <w:tblCellMar>
          <w:top w:w="0" w:type="dxa"/>
          <w:left w:w="0" w:type="dxa"/>
          <w:bottom w:w="0" w:type="dxa"/>
          <w:right w:w="0" w:type="dxa"/>
        </w:tblCellMar>
      </w:tblPr>
      <w:tblGrid>
        <w:gridCol w:w="2825"/>
        <w:gridCol w:w="60"/>
        <w:gridCol w:w="1385"/>
        <w:gridCol w:w="60"/>
        <w:gridCol w:w="2375"/>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Ireland</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001-37403</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98-1782229</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One Madison Avenue</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10010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(646) 930-0950</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25" w:type="dxa"/>
        <w:jc w:val="left"/>
        <w:tblInd w:w="0" w:type="dxa"/>
        <w:tblLayout w:type="fixed"/>
        <w:tblCellMar>
          <w:top w:w="0" w:type="dxa"/>
          <w:left w:w="0" w:type="dxa"/>
          <w:bottom w:w="0" w:type="dxa"/>
          <w:right w:w="0" w:type="dxa"/>
        </w:tblCellMar>
      </w:tblPr>
      <w:tblGrid>
        <w:gridCol w:w="4805"/>
        <w:gridCol w:w="60"/>
        <w:gridCol w:w="740"/>
        <w:gridCol w:w="60"/>
        <w:gridCol w:w="2660"/>
      </w:tblGrid>
      <w:tr>
        <w:trPr/>
        <w:tc>
          <w:tcPr>
            <w:tcW w:w="4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805" w:type="dxa"/>
            <w:tcBorders/>
            <w:vAlign w:val="center"/>
          </w:tcPr>
          <w:p>
            <w:pPr>
              <w:pStyle w:val="TableContents"/>
              <w:bidi w:val="0"/>
              <w:spacing w:before="0" w:after="283"/>
              <w:jc w:val="center"/>
              <w:rPr/>
            </w:pPr>
            <w:r>
              <w:rPr/>
              <w:t>Ordinary Shares, nominal value of €0.09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FLUT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28, 2026, Flutter Entertainment plc (the “Company”) issued a press release regarding the provisional executive measure by the Brazilian Government banning online betting and gaming in Brazil and the cessation of the Company’s operations in Brazil, which is furnished as Exhibit 99.1 to this Form 8-K and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860"/>
        <w:gridCol w:w="120"/>
        <w:gridCol w:w="7520"/>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2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120" w:type="dxa"/>
            <w:tcBorders/>
            <w:vAlign w:val="center"/>
          </w:tcPr>
          <w:p>
            <w:pPr>
              <w:pStyle w:val="TableContents"/>
              <w:bidi w:val="0"/>
              <w:spacing w:before="0" w:after="283"/>
              <w:jc w:val="left"/>
              <w:rPr/>
            </w:pPr>
            <w:r>
              <w:rPr/>
              <w:t>  </w:t>
            </w:r>
          </w:p>
        </w:tc>
        <w:tc>
          <w:tcPr>
            <w:tcW w:w="75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860" w:type="dxa"/>
            <w:tcBorders/>
            <w:vAlign w:val="center"/>
          </w:tcPr>
          <w:p>
            <w:pPr>
              <w:pStyle w:val="TableContents"/>
              <w:bidi w:val="0"/>
              <w:spacing w:before="0" w:after="283"/>
              <w:jc w:val="left"/>
              <w:rPr>
                <w:sz w:val="4"/>
                <w:szCs w:val="4"/>
              </w:rPr>
            </w:pPr>
            <w:r>
              <w:rPr>
                <w:sz w:val="4"/>
                <w:szCs w:val="4"/>
              </w:rPr>
            </w:r>
          </w:p>
        </w:tc>
        <w:tc>
          <w:tcPr>
            <w:tcW w:w="7640"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283"/>
              <w:jc w:val="left"/>
              <w:rPr/>
            </w:pPr>
            <w:hyperlink w:anchor="d484581dex991.htm">
              <w:r>
                <w:rPr>
                  <w:rStyle w:val="InternetLink"/>
                </w:rPr>
                <w:t xml:space="preserve">Press Release dated September 28, 2026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7640"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283"/>
              <w:jc w:val="left"/>
              <w:rPr/>
            </w:pPr>
            <w:r>
              <w:rPr/>
              <w:t>The cover page of this Current Report on Form 8-K, formatted in Inline XBRL</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Exchange Act, the registrant has duly caused this report to be signed on its behalf by the undersigned hereunto duly authorized. </w:t>
      </w:r>
    </w:p>
    <w:p>
      <w:pPr>
        <w:pStyle w:val="TextBody"/>
        <w:bidi w:val="0"/>
        <w:spacing w:before="0" w:after="0"/>
        <w:jc w:val="left"/>
        <w:rPr/>
      </w:pPr>
      <w:r>
        <w:rPr/>
        <w:t> </w:t>
      </w:r>
    </w:p>
    <w:tbl>
      <w:tblPr>
        <w:tblW w:w="5297" w:type="dxa"/>
        <w:jc w:val="left"/>
        <w:tblInd w:w="0" w:type="dxa"/>
        <w:tblLayout w:type="fixed"/>
        <w:tblCellMar>
          <w:top w:w="0" w:type="dxa"/>
          <w:left w:w="0" w:type="dxa"/>
          <w:bottom w:w="0" w:type="dxa"/>
          <w:right w:w="0" w:type="dxa"/>
        </w:tblCellMar>
      </w:tblPr>
      <w:tblGrid>
        <w:gridCol w:w="2510"/>
        <w:gridCol w:w="60"/>
        <w:gridCol w:w="23"/>
        <w:gridCol w:w="60"/>
        <w:gridCol w:w="656"/>
        <w:gridCol w:w="60"/>
        <w:gridCol w:w="1928"/>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44" w:type="dxa"/>
            <w:gridSpan w:val="3"/>
            <w:tcBorders/>
            <w:vAlign w:val="center"/>
          </w:tcPr>
          <w:p>
            <w:pPr>
              <w:pStyle w:val="TableContents"/>
              <w:bidi w:val="0"/>
              <w:spacing w:before="0" w:after="283"/>
              <w:jc w:val="left"/>
              <w:rPr>
                <w:b/>
              </w:rPr>
            </w:pPr>
            <w:r>
              <w:rPr>
                <w:b/>
              </w:rPr>
              <w:t>Flutter Entertainment plc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44" w:type="dxa"/>
            <w:gridSpan w:val="3"/>
            <w:tcBorders/>
            <w:vAlign w:val="center"/>
          </w:tcPr>
          <w:p>
            <w:pPr>
              <w:pStyle w:val="TableContents"/>
              <w:bidi w:val="0"/>
              <w:spacing w:before="0" w:after="283"/>
              <w:jc w:val="left"/>
              <w:rPr/>
            </w:pPr>
            <w:r>
              <w:rPr/>
              <w:t>(Registrant)</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6" w:type="dxa"/>
            <w:gridSpan w:val="2"/>
            <w:tcBorders/>
            <w:vAlign w:val="center"/>
          </w:tcPr>
          <w:p>
            <w:pPr>
              <w:pStyle w:val="TableContents"/>
              <w:bidi w:val="0"/>
              <w:spacing w:before="0" w:after="283"/>
              <w:jc w:val="left"/>
              <w:rPr>
                <w:sz w:val="4"/>
                <w:szCs w:val="4"/>
              </w:rPr>
            </w:pPr>
            <w:r>
              <w:rPr>
                <w:sz w:val="4"/>
                <w:szCs w:val="4"/>
              </w:rPr>
            </w:r>
          </w:p>
        </w:tc>
        <w:tc>
          <w:tcPr>
            <w:tcW w:w="1988"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92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Traynor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Edward Traynor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Company Secretary</w:t>
            </w:r>
          </w:p>
        </w:tc>
      </w:tr>
    </w:tbl>
    <w:p>
      <w:pPr>
        <w:pStyle w:val="TextBody"/>
        <w:bidi w:val="0"/>
        <w:spacing w:before="0" w:after="0"/>
        <w:jc w:val="right"/>
        <w:rPr>
          <w:rFonts w:ascii="Times New Roman" w:hAnsi="Times New Roman"/>
          <w:b/>
          <w:sz w:val="20"/>
        </w:rPr>
      </w:pPr>
      <w:bookmarkStart w:id="2" w:name="d484581dex991.htm"/>
      <w:bookmarkStart w:id="3" w:name="ksd484581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7048500" cy="137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48500" cy="13716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New York, September 28, 2026: Flutter Entertainment plc (NYSE: FLUT) (“Flutter”) the world’s leading online sports betting and iGaming operator notes the provisional executive order issued by the Brazilian Government banning online betting and gaming in Brazil. </w:t>
      </w:r>
    </w:p>
    <w:p>
      <w:pPr>
        <w:pStyle w:val="TextBody"/>
        <w:bidi w:val="0"/>
        <w:spacing w:before="240" w:after="0"/>
        <w:jc w:val="left"/>
        <w:rPr>
          <w:rFonts w:ascii="Times New Roman" w:hAnsi="Times New Roman"/>
          <w:sz w:val="20"/>
        </w:rPr>
      </w:pPr>
      <w:r>
        <w:rPr>
          <w:rFonts w:ascii="Times New Roman" w:hAnsi="Times New Roman"/>
          <w:sz w:val="20"/>
        </w:rPr>
        <w:t xml:space="preserve">Complying with the provisional executive measures announced on September 25, 2026, Flutter has ceased operating sports betting and iGaming in Brazil. Flutter is extremely disappointed by this development and is reviewing all available options, including the potential to appeal. Flutter continues to engage constructively with the Brazilian authorities on sensible, effective regulation to protect customers from the risks of the unregulated market. </w:t>
      </w:r>
    </w:p>
    <w:p>
      <w:pPr>
        <w:pStyle w:val="TextBody"/>
        <w:bidi w:val="0"/>
        <w:spacing w:before="240" w:after="0"/>
        <w:jc w:val="left"/>
        <w:rPr>
          <w:rFonts w:ascii="Times New Roman" w:hAnsi="Times New Roman"/>
          <w:sz w:val="20"/>
        </w:rPr>
      </w:pPr>
      <w:r>
        <w:rPr>
          <w:rFonts w:ascii="Times New Roman" w:hAnsi="Times New Roman"/>
          <w:sz w:val="20"/>
        </w:rPr>
        <w:t xml:space="preserve">The executive order is expected to require Congressional approval or amendment within 120 days to remain in effect. Should Congress reject this measure, we would expect our online sports betting and iGaming activity to recommence. </w:t>
      </w:r>
    </w:p>
    <w:p>
      <w:pPr>
        <w:pStyle w:val="TextBody"/>
        <w:bidi w:val="0"/>
        <w:spacing w:before="240" w:after="0"/>
        <w:jc w:val="left"/>
        <w:rPr>
          <w:rFonts w:ascii="Times New Roman" w:hAnsi="Times New Roman"/>
          <w:sz w:val="20"/>
        </w:rPr>
      </w:pPr>
      <w:r>
        <w:rPr>
          <w:rFonts w:ascii="Times New Roman" w:hAnsi="Times New Roman"/>
          <w:sz w:val="20"/>
        </w:rPr>
        <w:t xml:space="preserve">If Flutter Brazil is unable to operate for the remainder of the year, it is expected to result in a reduction to 2026 revenue of approximately $70m and a reduction in adjusted EBITDA of approximately $20m. </w:t>
      </w:r>
    </w:p>
    <w:p>
      <w:pPr>
        <w:pStyle w:val="TextBody"/>
        <w:bidi w:val="0"/>
        <w:spacing w:before="240" w:after="0"/>
        <w:jc w:val="left"/>
        <w:rPr>
          <w:rFonts w:ascii="Times New Roman" w:hAnsi="Times New Roman"/>
          <w:sz w:val="20"/>
        </w:rPr>
      </w:pPr>
      <w:r>
        <w:rPr>
          <w:rFonts w:ascii="Times New Roman" w:hAnsi="Times New Roman"/>
          <w:sz w:val="20"/>
        </w:rPr>
        <w:t xml:space="preserve">At this stage, Flutter is assessing the associated non-cash accounting implications1 of the announced measures and will provide additional disclosures in due course.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In some cases, you can identify these forward-looking statements by the use of words such as “outlook”, “believe(s)”, ”expect(s)”, “potential”, “continue(s)”, “may”, “will”, “should”, “could”, “would”, “seek(s)”, “predict(s)”, “intend(s)”, “trends”, “plan(s)”, “estimate(s)”, “anticipates”, “projection”, “goal”, “target”, “aspire”, “will likely result”, and or the negative version of these words or other comparable words of a future or forward-looking nature. Such forward-looking statements are subject to various risks and uncertainties and there are or will be important factors that could cause actual outcomes or results to differ materially from those indicated in these statements. The ability to predict results or actual effects of our plans and strategies is inherently uncertain. Accordingly, actual results may differ materially from those expressed in, or implied by, the forward-looking statements. In addition, we may incur additional or unexpected costs in connection with the matters discussed in this press release. The ability to predict results or actual effects of our plans and strategies is inherently uncertain. Accordingly, actual results may differ materially from those expressed in,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Factors that could cause Flutter’s results to differ materially from those described in the forward-looking statements can be found in Part I, “Item 1A. Risk Factors” of Flutter’s Annual Report on Form 10-K for the fiscal year ended December 31, 2025 as filed with the Securities and Exchange Commission (the “SEC”) and other periodic filings with the SEC, which are accessible on the SEC’s website at www.sec.gov. Flutter undertakes no obligation to publicly update or review any forward-looking statement, whether as a result of new information, future developments or otherwise, except as required by law.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Q2 2026, Flutter Brazil’s carrying value primarily included $539m goodwill, $127m online customer relationships, $124m trademarks and $31m computer software and technology.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Flutter Entertainment plc </w:t>
      </w:r>
    </w:p>
    <w:p>
      <w:pPr>
        <w:pStyle w:val="TextBody"/>
        <w:bidi w:val="0"/>
        <w:spacing w:before="120" w:after="0"/>
        <w:jc w:val="left"/>
        <w:rPr>
          <w:rFonts w:ascii="Times New Roman" w:hAnsi="Times New Roman"/>
          <w:sz w:val="20"/>
        </w:rPr>
      </w:pPr>
      <w:r>
        <w:rPr>
          <w:rFonts w:ascii="Times New Roman" w:hAnsi="Times New Roman"/>
          <w:sz w:val="20"/>
        </w:rPr>
        <w:t xml:space="preserve">Flutter is the world’s leading online sports betting and iGaming operator, with a market leading position in the US and across the world. Our ambition is to leverage our size and our challenger mindset to change our industry for the better. By Changing the Game, we believe we can deliver long-term growth while promoting a positive, sustainable future for all our stakeholders. We are well-placed to do so through the distinctive, global advantages of the Flutter Edge, which gives our brands access to group-wide benefits, as well as our clear vision for sustainability through our Positive Impact Plan. </w:t>
      </w:r>
    </w:p>
    <w:p>
      <w:pPr>
        <w:pStyle w:val="TextBody"/>
        <w:bidi w:val="0"/>
        <w:spacing w:before="240" w:after="0"/>
        <w:jc w:val="left"/>
        <w:rPr>
          <w:rFonts w:ascii="Times New Roman" w:hAnsi="Times New Roman"/>
          <w:sz w:val="20"/>
        </w:rPr>
      </w:pPr>
      <w:r>
        <w:rPr>
          <w:rFonts w:ascii="Times New Roman" w:hAnsi="Times New Roman"/>
          <w:sz w:val="20"/>
        </w:rPr>
        <w:t xml:space="preserve">Flutter operates a diverse portfolio of leading online sports betting and iGaming brands including FanDuel, Sky Betting &amp; Gaming, Sportsbet, PokerStars, Paddy Power, Sisal, Snai, tombola, Betfair, MaxBet, Adjarabet and Betnacional. We are the industry leader with $16,383m of revenue globally for fiscal 2025, up 17% YoY, and $4,326m of revenue globally for the quarter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7"/>
        <w:gridCol w:w="120"/>
        <w:gridCol w:w="4928"/>
      </w:tblGrid>
      <w:tr>
        <w:trPr/>
        <w:tc>
          <w:tcPr>
            <w:tcW w:w="515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28" w:type="dxa"/>
            <w:tcBorders/>
            <w:vAlign w:val="center"/>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283"/>
              <w:jc w:val="left"/>
              <w:rPr>
                <w:i/>
              </w:rPr>
            </w:pPr>
            <w:r>
              <w:rPr>
                <w:i/>
              </w:rPr>
              <w:t>Investor Relations:</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i/>
              </w:rPr>
            </w:pPr>
            <w:r>
              <w:rPr>
                <w:i/>
              </w:rPr>
              <w:t>Media Relations:</w:t>
            </w:r>
          </w:p>
        </w:tc>
      </w:tr>
      <w:tr>
        <w:trPr>
          <w:trHeight w:val="120" w:hRule="atLeast"/>
        </w:trPr>
        <w:tc>
          <w:tcPr>
            <w:tcW w:w="5157" w:type="dxa"/>
            <w:tcBorders/>
            <w:vAlign w:val="center"/>
          </w:tcPr>
          <w:p>
            <w:pPr>
              <w:pStyle w:val="TableContents"/>
              <w:bidi w:val="0"/>
              <w:spacing w:before="0" w:after="283"/>
              <w:jc w:val="left"/>
              <w:rPr>
                <w:sz w:val="4"/>
                <w:szCs w:val="4"/>
              </w:rPr>
            </w:pPr>
            <w:r>
              <w:rPr>
                <w:sz w:val="4"/>
                <w:szCs w:val="4"/>
              </w:rPr>
            </w:r>
          </w:p>
        </w:tc>
        <w:tc>
          <w:tcPr>
            <w:tcW w:w="5048" w:type="dxa"/>
            <w:gridSpan w:val="2"/>
            <w:tcBorders/>
            <w:vAlign w:val="center"/>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283"/>
              <w:jc w:val="left"/>
              <w:rPr/>
            </w:pPr>
            <w:r>
              <w:rPr/>
              <w:t>Paul Tymms, Investor Relations</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t>Kate Delahunty, Corporate Communications</w:t>
            </w:r>
          </w:p>
        </w:tc>
      </w:tr>
      <w:tr>
        <w:trPr>
          <w:trHeight w:val="120" w:hRule="atLeast"/>
        </w:trPr>
        <w:tc>
          <w:tcPr>
            <w:tcW w:w="5157" w:type="dxa"/>
            <w:tcBorders/>
            <w:vAlign w:val="center"/>
          </w:tcPr>
          <w:p>
            <w:pPr>
              <w:pStyle w:val="TableContents"/>
              <w:bidi w:val="0"/>
              <w:spacing w:before="0" w:after="283"/>
              <w:jc w:val="left"/>
              <w:rPr>
                <w:sz w:val="4"/>
                <w:szCs w:val="4"/>
              </w:rPr>
            </w:pPr>
            <w:r>
              <w:rPr>
                <w:sz w:val="4"/>
                <w:szCs w:val="4"/>
              </w:rPr>
            </w:r>
          </w:p>
        </w:tc>
        <w:tc>
          <w:tcPr>
            <w:tcW w:w="5048" w:type="dxa"/>
            <w:gridSpan w:val="2"/>
            <w:tcBorders/>
            <w:vAlign w:val="center"/>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283"/>
              <w:jc w:val="left"/>
              <w:rPr/>
            </w:pPr>
            <w:r>
              <w:rPr/>
              <w:t>Ciara O’Mullane, Investor Relations</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t>Lindsay Dunford, Corporate Communications</w:t>
            </w:r>
          </w:p>
        </w:tc>
      </w:tr>
      <w:tr>
        <w:trPr>
          <w:trHeight w:val="120" w:hRule="atLeast"/>
        </w:trPr>
        <w:tc>
          <w:tcPr>
            <w:tcW w:w="5157" w:type="dxa"/>
            <w:tcBorders/>
            <w:vAlign w:val="center"/>
          </w:tcPr>
          <w:p>
            <w:pPr>
              <w:pStyle w:val="TableContents"/>
              <w:bidi w:val="0"/>
              <w:spacing w:before="0" w:after="283"/>
              <w:jc w:val="left"/>
              <w:rPr>
                <w:sz w:val="4"/>
                <w:szCs w:val="4"/>
              </w:rPr>
            </w:pPr>
            <w:r>
              <w:rPr>
                <w:sz w:val="4"/>
                <w:szCs w:val="4"/>
              </w:rPr>
            </w:r>
          </w:p>
        </w:tc>
        <w:tc>
          <w:tcPr>
            <w:tcW w:w="5048" w:type="dxa"/>
            <w:gridSpan w:val="2"/>
            <w:tcBorders/>
            <w:vAlign w:val="center"/>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283"/>
              <w:jc w:val="left"/>
              <w:rPr/>
            </w:pPr>
            <w:r>
              <w:rPr/>
              <w:t>Sophie Nottage, Investor Relations</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t>Rob Allen, Corporate Communications</w:t>
            </w:r>
          </w:p>
        </w:tc>
      </w:tr>
      <w:tr>
        <w:trPr>
          <w:trHeight w:val="120" w:hRule="atLeast"/>
        </w:trPr>
        <w:tc>
          <w:tcPr>
            <w:tcW w:w="5157" w:type="dxa"/>
            <w:tcBorders/>
            <w:vAlign w:val="center"/>
          </w:tcPr>
          <w:p>
            <w:pPr>
              <w:pStyle w:val="TableContents"/>
              <w:bidi w:val="0"/>
              <w:spacing w:before="0" w:after="283"/>
              <w:jc w:val="left"/>
              <w:rPr>
                <w:sz w:val="4"/>
                <w:szCs w:val="4"/>
              </w:rPr>
            </w:pPr>
            <w:r>
              <w:rPr>
                <w:sz w:val="4"/>
                <w:szCs w:val="4"/>
              </w:rPr>
            </w:r>
          </w:p>
        </w:tc>
        <w:tc>
          <w:tcPr>
            <w:tcW w:w="5048" w:type="dxa"/>
            <w:gridSpan w:val="2"/>
            <w:tcBorders/>
            <w:vAlign w:val="center"/>
          </w:tcPr>
          <w:p>
            <w:pPr>
              <w:pStyle w:val="TableContents"/>
              <w:bidi w:val="0"/>
              <w:spacing w:before="0" w:after="283"/>
              <w:jc w:val="left"/>
              <w:rPr>
                <w:sz w:val="4"/>
                <w:szCs w:val="4"/>
              </w:rPr>
            </w:pPr>
            <w:r>
              <w:rPr>
                <w:sz w:val="4"/>
                <w:szCs w:val="4"/>
              </w:rPr>
            </w:r>
          </w:p>
        </w:tc>
      </w:tr>
      <w:tr>
        <w:trPr/>
        <w:tc>
          <w:tcPr>
            <w:tcW w:w="5157" w:type="dxa"/>
            <w:tcBorders/>
          </w:tcPr>
          <w:p>
            <w:pPr>
              <w:pStyle w:val="TableContents"/>
              <w:bidi w:val="0"/>
              <w:spacing w:before="0" w:after="283"/>
              <w:jc w:val="left"/>
              <w:rPr/>
            </w:pPr>
            <w:r>
              <w:rPr>
                <w:b/>
              </w:rPr>
              <w:t>Email</w:t>
            </w:r>
            <w:r>
              <w:rPr/>
              <w:t>: </w:t>
            </w:r>
            <w:r>
              <w:rPr>
                <w:u w:val="single"/>
              </w:rPr>
              <w:t>investor.relations@flutter.com</w:t>
            </w:r>
          </w:p>
        </w:tc>
        <w:tc>
          <w:tcPr>
            <w:tcW w:w="120" w:type="dxa"/>
            <w:tcBorders/>
            <w:vAlign w:val="bottom"/>
          </w:tcPr>
          <w:p>
            <w:pPr>
              <w:pStyle w:val="TableContents"/>
              <w:bidi w:val="0"/>
              <w:spacing w:before="0" w:after="283"/>
              <w:jc w:val="left"/>
              <w:rPr/>
            </w:pPr>
            <w:r>
              <w:rPr/>
              <w:t>  </w:t>
            </w:r>
          </w:p>
        </w:tc>
        <w:tc>
          <w:tcPr>
            <w:tcW w:w="4928" w:type="dxa"/>
            <w:tcBorders/>
          </w:tcPr>
          <w:p>
            <w:pPr>
              <w:pStyle w:val="TableContents"/>
              <w:bidi w:val="0"/>
              <w:spacing w:before="0" w:after="283"/>
              <w:jc w:val="left"/>
              <w:rPr/>
            </w:pPr>
            <w:r>
              <w:rPr>
                <w:b/>
              </w:rPr>
              <w:t>Email:</w:t>
            </w:r>
            <w:r>
              <w:rPr/>
              <w:t> </w:t>
            </w:r>
            <w:r>
              <w:rPr>
                <w:u w:val="single"/>
              </w:rPr>
              <w:t>corporatecomms@flutter.com</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6343650" cy="56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343650" cy="561975"/>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1175</Words>
  <Characters>6827</Characters>
  <CharactersWithSpaces>8004</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