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doc.xml.htm"/>
      <w:bookmarkStart w:id="1" w:name="ksprimary_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DART KENNETH BRYAN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 O. BOX 31300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GRAND CAYMAN</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CAYMAN ISLANDS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Flutter Entertainment plc</w:t>
              </w:r>
            </w:hyperlink>
            <w:r>
              <w:rPr/>
              <w:t xml:space="preserve"> [ </w:t>
            </w:r>
            <w:r>
              <w:rPr>
                <w:rFonts w:ascii="Times;serif" w:hAnsi="Times;serif"/>
                <w:color w:val="0000FF"/>
                <w:sz w:val="24"/>
                <w:shd w:fill="FFFFFF" w:val="clear"/>
              </w:rPr>
              <w:t>FLUT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50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816"/>
        <w:gridCol w:w="276"/>
        <w:gridCol w:w="906"/>
        <w:gridCol w:w="801"/>
        <w:gridCol w:w="891"/>
        <w:gridCol w:w="921"/>
        <w:gridCol w:w="801"/>
        <w:gridCol w:w="1131"/>
        <w:gridCol w:w="831"/>
        <w:gridCol w:w="906"/>
      </w:tblGrid>
      <w:tr>
        <w:trPr>
          <w:tblHeader w:val="true"/>
        </w:trPr>
        <w:tc>
          <w:tcPr>
            <w:tcW w:w="1250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1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Total Return Swap</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P/K</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332,237</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03/02/2028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03/02/2028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332,237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94.532</w:t>
            </w:r>
          </w:p>
        </w:tc>
        <w:tc>
          <w:tcPr>
            <w:tcW w:w="11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21,560,084</w:t>
            </w:r>
            <w:r>
              <w:rPr>
                <w:rFonts w:ascii="Times;serif" w:hAnsi="Times;serif"/>
                <w:color w:val="008000"/>
                <w:position w:val="7"/>
                <w:sz w:val="16"/>
                <w:sz w:val="20"/>
                <w:shd w:fill="FFFFFF" w:val="clear"/>
              </w:rPr>
              <w:t>(2)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(2)</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reference price for the Swap is $94.5320 per share. The Swap is scheduled to terminate on March 2, 2028, at which time the Swap will be cash-settled. Under the terms of the Swap, at maturity:(i) the Reporting Person will be obligated to pay to the counterparty any decrease in the market price of the referenced shares below the reference price, and (ii) the counterparty will be obligated to pay the Reporting Person any increase in the market price of the referenced shares above the reference price. The Swap requires the Reporting Person to pay monthly interest to the counterparty on the financing leg of the Swap at a rate based on OBFR. Additionally, the Reporting Person is entitled to receive payments from the counterparty equal to any dividends paid on the referenced shares during the term of the Swap.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Lake Michigan Limited is the party to the reported transaction and direct "holder" of the "notional" shares. Lake Michigan Limited and LBS Limited were parties to previously reported swap transactions that provide an aggregate position in 21,227,847 "notional" shares. As owner of LBS Limited and Lake Michigan Limited, Mr. Dart may be deemed to beneficially own the reported securities but disclaims such beneficial ownership except to the extent of his pecuniary interest therein.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/s/Kenneth B Dart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31271" TargetMode="External"/><Relationship Id="rId5" Type="http://schemas.openxmlformats.org/officeDocument/2006/relationships/hyperlink" Target="http://www.sec.gov/cgi-bin/browse-edgar?action=getcompany&amp;CIK=000163532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784</Words>
  <Characters>4214</Characters>
  <CharactersWithSpaces>4927</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