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8487d8k.htm"/>
      <w:bookmarkStart w:id="1" w:name="ksd10848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27,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Flutter Entertainment plc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705" w:type="dxa"/>
        <w:jc w:val="left"/>
        <w:tblInd w:w="0" w:type="dxa"/>
        <w:tblLayout w:type="fixed"/>
        <w:tblCellMar>
          <w:top w:w="0" w:type="dxa"/>
          <w:left w:w="0" w:type="dxa"/>
          <w:bottom w:w="0" w:type="dxa"/>
          <w:right w:w="0" w:type="dxa"/>
        </w:tblCellMar>
      </w:tblPr>
      <w:tblGrid>
        <w:gridCol w:w="2825"/>
        <w:gridCol w:w="60"/>
        <w:gridCol w:w="1385"/>
        <w:gridCol w:w="60"/>
        <w:gridCol w:w="2375"/>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Ireland</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001-37403</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98-1782229</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(IRS Employer</w:t>
              <w:br/>
              <w:t>Identification Number)</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One Madison Avenue</w:t>
            </w:r>
          </w:p>
          <w:p>
            <w:pPr>
              <w:pStyle w:val="TableContents"/>
              <w:bidi w:val="0"/>
              <w:spacing w:before="0" w:after="20"/>
              <w:jc w:val="center"/>
              <w:rPr>
                <w:rFonts w:ascii="Times New Roman" w:hAnsi="Times New Roman"/>
                <w:b/>
                <w:sz w:val="20"/>
              </w:rPr>
            </w:pPr>
            <w:r>
              <w:rPr>
                <w:rFonts w:ascii="Times New Roman" w:hAnsi="Times New Roman"/>
                <w:b/>
                <w:sz w:val="20"/>
              </w:rPr>
              <w:t>New York, New York</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10010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(646) 930-0950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325" w:type="dxa"/>
        <w:jc w:val="left"/>
        <w:tblInd w:w="0" w:type="dxa"/>
        <w:tblLayout w:type="fixed"/>
        <w:tblCellMar>
          <w:top w:w="0" w:type="dxa"/>
          <w:left w:w="0" w:type="dxa"/>
          <w:bottom w:w="0" w:type="dxa"/>
          <w:right w:w="0" w:type="dxa"/>
        </w:tblCellMar>
      </w:tblPr>
      <w:tblGrid>
        <w:gridCol w:w="4805"/>
        <w:gridCol w:w="60"/>
        <w:gridCol w:w="740"/>
        <w:gridCol w:w="60"/>
        <w:gridCol w:w="2660"/>
      </w:tblGrid>
      <w:tr>
        <w:trPr/>
        <w:tc>
          <w:tcPr>
            <w:tcW w:w="4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8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805" w:type="dxa"/>
            <w:tcBorders/>
            <w:vAlign w:val="center"/>
          </w:tcPr>
          <w:p>
            <w:pPr>
              <w:pStyle w:val="TableContents"/>
              <w:bidi w:val="0"/>
              <w:spacing w:before="0" w:after="283"/>
              <w:jc w:val="center"/>
              <w:rPr/>
            </w:pPr>
            <w:r>
              <w:rPr/>
              <w:t>Ordinary Shares, nominal value of €0.09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FLUT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27, 2026, Flutter Entertainment plc released, via the Regulatory News Service in London, an announcement (the “RNS Announcement”) stating that it will issue its first quarter financial results and host a webcast and conference call on August 5, 2026, which is furnished as Exhibit 99.1 to this Form 8-K and is incorporated herein by reference. The RNS Announcement was made in order to comply with disclosure requirements pursuant to the United Kingdom Financial Conduct Authority’s Disclosure Guidance and Transparency Rules.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860"/>
        <w:gridCol w:w="120"/>
        <w:gridCol w:w="7520"/>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20"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120" w:type="dxa"/>
            <w:tcBorders/>
            <w:vAlign w:val="center"/>
          </w:tcPr>
          <w:p>
            <w:pPr>
              <w:pStyle w:val="TableContents"/>
              <w:bidi w:val="0"/>
              <w:spacing w:before="0" w:after="283"/>
              <w:jc w:val="left"/>
              <w:rPr/>
            </w:pPr>
            <w:r>
              <w:rPr/>
              <w:t>  </w:t>
            </w:r>
          </w:p>
        </w:tc>
        <w:tc>
          <w:tcPr>
            <w:tcW w:w="75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860" w:type="dxa"/>
            <w:tcBorders/>
            <w:vAlign w:val="center"/>
          </w:tcPr>
          <w:p>
            <w:pPr>
              <w:pStyle w:val="TableContents"/>
              <w:bidi w:val="0"/>
              <w:spacing w:before="0" w:after="283"/>
              <w:jc w:val="left"/>
              <w:rPr>
                <w:sz w:val="4"/>
                <w:szCs w:val="4"/>
              </w:rPr>
            </w:pPr>
            <w:r>
              <w:rPr>
                <w:sz w:val="4"/>
                <w:szCs w:val="4"/>
              </w:rPr>
            </w:r>
          </w:p>
        </w:tc>
        <w:tc>
          <w:tcPr>
            <w:tcW w:w="7640"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283"/>
              <w:jc w:val="left"/>
              <w:rPr/>
            </w:pPr>
            <w:hyperlink w:anchor="d108487dex991.htm">
              <w:r>
                <w:rPr>
                  <w:rStyle w:val="InternetLink"/>
                </w:rPr>
                <w:t xml:space="preserve">RNS Announcement dated July 27, 2026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7640"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283"/>
              <w:jc w:val="left"/>
              <w:rPr/>
            </w:pPr>
            <w:r>
              <w:rPr/>
              <w:t>The cover page of this Current Report on Form 8-K, formatted in Inline XBRL</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868" w:type="dxa"/>
        <w:jc w:val="left"/>
        <w:tblInd w:w="0" w:type="dxa"/>
        <w:tblLayout w:type="fixed"/>
        <w:tblCellMar>
          <w:top w:w="0" w:type="dxa"/>
          <w:left w:w="0" w:type="dxa"/>
          <w:bottom w:w="0" w:type="dxa"/>
          <w:right w:w="0" w:type="dxa"/>
        </w:tblCellMar>
      </w:tblPr>
      <w:tblGrid>
        <w:gridCol w:w="1895"/>
        <w:gridCol w:w="60"/>
        <w:gridCol w:w="23"/>
        <w:gridCol w:w="60"/>
        <w:gridCol w:w="650"/>
        <w:gridCol w:w="60"/>
        <w:gridCol w:w="512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2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30" w:type="dxa"/>
            <w:gridSpan w:val="3"/>
            <w:tcBorders/>
            <w:vAlign w:val="center"/>
          </w:tcPr>
          <w:p>
            <w:pPr>
              <w:pStyle w:val="TableContents"/>
              <w:bidi w:val="0"/>
              <w:spacing w:before="0" w:after="283"/>
              <w:jc w:val="left"/>
              <w:rPr>
                <w:b/>
              </w:rPr>
            </w:pPr>
            <w:r>
              <w:rPr>
                <w:b/>
              </w:rPr>
              <w:t>Flutter Entertainment plc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30" w:type="dxa"/>
            <w:gridSpan w:val="3"/>
            <w:tcBorders/>
            <w:vAlign w:val="center"/>
          </w:tcPr>
          <w:p>
            <w:pPr>
              <w:pStyle w:val="TableContents"/>
              <w:bidi w:val="0"/>
              <w:spacing w:before="0" w:after="283"/>
              <w:jc w:val="left"/>
              <w:rPr/>
            </w:pPr>
            <w:r>
              <w:rPr/>
              <w:t>(Registrant)</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12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Fiona Gildea</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120" w:type="dxa"/>
            <w:tcBorders/>
            <w:vAlign w:val="center"/>
          </w:tcPr>
          <w:p>
            <w:pPr>
              <w:pStyle w:val="TableContents"/>
              <w:bidi w:val="0"/>
              <w:spacing w:before="0" w:after="283"/>
              <w:jc w:val="left"/>
              <w:rPr/>
            </w:pPr>
            <w:r>
              <w:rPr/>
              <w:t>Fiona Gildea</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120" w:type="dxa"/>
            <w:tcBorders/>
            <w:vAlign w:val="center"/>
          </w:tcPr>
          <w:p>
            <w:pPr>
              <w:pStyle w:val="TableContents"/>
              <w:bidi w:val="0"/>
              <w:spacing w:before="0" w:after="283"/>
              <w:jc w:val="left"/>
              <w:rPr/>
            </w:pPr>
            <w:r>
              <w:rPr/>
              <w:t>Deputy Company Secretary and Head of Governance</w:t>
            </w:r>
          </w:p>
        </w:tc>
      </w:tr>
    </w:tbl>
    <w:p>
      <w:pPr>
        <w:pStyle w:val="TextBody"/>
        <w:bidi w:val="0"/>
        <w:spacing w:before="0" w:after="0"/>
        <w:jc w:val="right"/>
        <w:rPr>
          <w:rFonts w:ascii="Times New Roman" w:hAnsi="Times New Roman"/>
          <w:b/>
          <w:sz w:val="20"/>
        </w:rPr>
      </w:pPr>
      <w:bookmarkStart w:id="2" w:name="d108487dex991.htm"/>
      <w:bookmarkStart w:id="3" w:name="ksd108487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5724525"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24525" cy="10287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Flutter Entertainment to Report Second Quarter 2026 Update and Host a Conference Call on August 5, 2026 </w:t>
      </w:r>
    </w:p>
    <w:p>
      <w:pPr>
        <w:pStyle w:val="TextBody"/>
        <w:bidi w:val="0"/>
        <w:spacing w:before="120" w:after="0"/>
        <w:jc w:val="left"/>
        <w:rPr>
          <w:rFonts w:ascii="Times New Roman" w:hAnsi="Times New Roman"/>
          <w:sz w:val="20"/>
        </w:rPr>
      </w:pPr>
      <w:r>
        <w:rPr>
          <w:rFonts w:ascii="Times New Roman" w:hAnsi="Times New Roman"/>
          <w:sz w:val="20"/>
        </w:rPr>
        <w:t xml:space="preserve">July 27, 2026 </w:t>
      </w:r>
    </w:p>
    <w:p>
      <w:pPr>
        <w:pStyle w:val="TextBody"/>
        <w:bidi w:val="0"/>
        <w:spacing w:before="240" w:after="0"/>
        <w:jc w:val="left"/>
        <w:rPr>
          <w:rFonts w:ascii="Times New Roman" w:hAnsi="Times New Roman"/>
          <w:sz w:val="20"/>
        </w:rPr>
      </w:pPr>
      <w:r>
        <w:rPr>
          <w:rFonts w:ascii="Times New Roman" w:hAnsi="Times New Roman"/>
          <w:sz w:val="20"/>
        </w:rPr>
        <w:t>Flutter Entertainment (“Flutter”) (NYSE:FLUT, LSE:FLTR), the leading online sports betting and iGaming operator, today announced that it will release its second quarter 2026 update before US market open on August 5, 2026 at 7:00 a.m. EDT (12:00 p.m. BST). All related materials will be available through the “Investors” section of the Flutter website at </w:t>
      </w:r>
      <w:r>
        <w:rPr>
          <w:rFonts w:ascii="Times New Roman" w:hAnsi="Times New Roman"/>
          <w:sz w:val="20"/>
          <w:u w:val="single"/>
        </w:rPr>
        <w:t>www.flutter.com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Flutter management will host a conference call on August 5, 2026 at 8:30 a.m. EDT (1:30 p.m. BST) to review the results and be available for questions, with access via webcast and telephone. </w:t>
      </w:r>
    </w:p>
    <w:p>
      <w:pPr>
        <w:pStyle w:val="TextBody"/>
        <w:bidi w:val="0"/>
        <w:spacing w:before="240" w:after="0"/>
        <w:jc w:val="left"/>
        <w:rPr>
          <w:rFonts w:ascii="Times New Roman" w:hAnsi="Times New Roman"/>
          <w:sz w:val="20"/>
        </w:rPr>
      </w:pPr>
      <w:r>
        <w:rPr>
          <w:rFonts w:ascii="Times New Roman" w:hAnsi="Times New Roman"/>
          <w:sz w:val="20"/>
        </w:rPr>
        <w:t xml:space="preserve">A public audio webcast of management’s call and the related Q&amp;A can be accessed by registering </w:t>
      </w:r>
      <w:r>
        <w:rPr>
          <w:rFonts w:ascii="Times New Roman" w:hAnsi="Times New Roman"/>
          <w:sz w:val="20"/>
          <w:u w:val="single"/>
        </w:rPr>
        <w:t>here</w:t>
      </w:r>
      <w:r>
        <w:rPr>
          <w:rFonts w:ascii="Times New Roman" w:hAnsi="Times New Roman"/>
          <w:sz w:val="20"/>
        </w:rPr>
        <w:t xml:space="preserve"> or via </w:t>
      </w:r>
      <w:r>
        <w:rPr>
          <w:rFonts w:ascii="Times New Roman" w:hAnsi="Times New Roman"/>
          <w:sz w:val="20"/>
          <w:u w:val="single"/>
        </w:rPr>
        <w:t>www.flutter.com/investors</w:t>
      </w:r>
      <w:r>
        <w:rPr>
          <w:rFonts w:ascii="Times New Roman" w:hAnsi="Times New Roman"/>
          <w:sz w:val="20"/>
        </w:rPr>
        <w:t xml:space="preserve">. For those unable to listen to the live broadcast, a replay will be available approximately one hour after conclusion of the call. </w:t>
      </w:r>
    </w:p>
    <w:p>
      <w:pPr>
        <w:pStyle w:val="TextBody"/>
        <w:bidi w:val="0"/>
        <w:spacing w:before="240" w:after="0"/>
        <w:jc w:val="left"/>
        <w:rPr>
          <w:rFonts w:ascii="Times New Roman" w:hAnsi="Times New Roman"/>
          <w:sz w:val="20"/>
        </w:rPr>
      </w:pPr>
      <w:r>
        <w:rPr>
          <w:rFonts w:ascii="Times New Roman" w:hAnsi="Times New Roman"/>
          <w:sz w:val="20"/>
        </w:rPr>
        <w:t xml:space="preserve">Analysts and investors who wish to participate in the live conference call must do so by dialling any of the numbers below and using conference ID 11053. Please dial in 10 minutes before the conference call begins. </w:t>
      </w:r>
    </w:p>
    <w:p>
      <w:pPr>
        <w:pStyle w:val="TextBody"/>
        <w:bidi w:val="0"/>
        <w:spacing w:before="240" w:after="0"/>
        <w:jc w:val="left"/>
        <w:rPr>
          <w:rFonts w:ascii="Times New Roman" w:hAnsi="Times New Roman"/>
          <w:sz w:val="20"/>
        </w:rPr>
      </w:pPr>
      <w:r>
        <w:rPr>
          <w:rFonts w:ascii="Times New Roman" w:hAnsi="Times New Roman"/>
          <w:sz w:val="20"/>
        </w:rPr>
        <w:t xml:space="preserve">+1 800 715 9871 (North America) </w:t>
      </w:r>
    </w:p>
    <w:p>
      <w:pPr>
        <w:pStyle w:val="TextBody"/>
        <w:bidi w:val="0"/>
        <w:spacing w:before="0" w:after="0"/>
        <w:jc w:val="left"/>
        <w:rPr>
          <w:rFonts w:ascii="Times New Roman" w:hAnsi="Times New Roman"/>
          <w:sz w:val="20"/>
        </w:rPr>
      </w:pPr>
      <w:r>
        <w:rPr>
          <w:rFonts w:ascii="Times New Roman" w:hAnsi="Times New Roman"/>
          <w:sz w:val="20"/>
        </w:rPr>
        <w:t xml:space="preserve">+44 800 358 0970 (United Kingdom) </w:t>
      </w:r>
    </w:p>
    <w:p>
      <w:pPr>
        <w:pStyle w:val="TextBody"/>
        <w:bidi w:val="0"/>
        <w:spacing w:before="0" w:after="0"/>
        <w:jc w:val="left"/>
        <w:rPr>
          <w:rFonts w:ascii="Times New Roman" w:hAnsi="Times New Roman"/>
          <w:sz w:val="20"/>
        </w:rPr>
      </w:pPr>
      <w:r>
        <w:rPr>
          <w:rFonts w:ascii="Times New Roman" w:hAnsi="Times New Roman"/>
          <w:sz w:val="20"/>
        </w:rPr>
        <w:t xml:space="preserve">+353 1800 943 926 (Ireland) </w:t>
      </w:r>
    </w:p>
    <w:p>
      <w:pPr>
        <w:pStyle w:val="TextBody"/>
        <w:bidi w:val="0"/>
        <w:spacing w:before="0" w:after="0"/>
        <w:jc w:val="left"/>
        <w:rPr>
          <w:rFonts w:ascii="Times New Roman" w:hAnsi="Times New Roman"/>
          <w:sz w:val="20"/>
        </w:rPr>
      </w:pPr>
      <w:r>
        <w:rPr>
          <w:rFonts w:ascii="Times New Roman" w:hAnsi="Times New Roman"/>
          <w:sz w:val="20"/>
        </w:rPr>
        <w:t xml:space="preserve">+61 1800 519 630 (Australia) </w:t>
      </w:r>
    </w:p>
    <w:p>
      <w:pPr>
        <w:pStyle w:val="TextBody"/>
        <w:bidi w:val="0"/>
        <w:spacing w:before="0" w:after="0"/>
        <w:jc w:val="left"/>
        <w:rPr>
          <w:rFonts w:ascii="Times New Roman" w:hAnsi="Times New Roman"/>
          <w:sz w:val="20"/>
        </w:rPr>
      </w:pPr>
      <w:r>
        <w:rPr>
          <w:rFonts w:ascii="Times New Roman" w:hAnsi="Times New Roman"/>
          <w:sz w:val="20"/>
        </w:rPr>
        <w:t xml:space="preserve">+1 646 307 1963 (International) </w:t>
      </w:r>
    </w:p>
    <w:p>
      <w:pPr>
        <w:pStyle w:val="TextBody"/>
        <w:bidi w:val="0"/>
        <w:spacing w:before="360" w:after="0"/>
        <w:jc w:val="left"/>
        <w:rPr>
          <w:rFonts w:ascii="Times New Roman" w:hAnsi="Times New Roman"/>
          <w:b/>
          <w:sz w:val="20"/>
        </w:rPr>
      </w:pPr>
      <w:r>
        <w:rPr>
          <w:rFonts w:ascii="Times New Roman" w:hAnsi="Times New Roman"/>
          <w:b/>
          <w:sz w:val="20"/>
        </w:rPr>
        <w:t xml:space="preserve">About Flutter Entertainment plc </w:t>
      </w:r>
    </w:p>
    <w:p>
      <w:pPr>
        <w:pStyle w:val="TextBody"/>
        <w:bidi w:val="0"/>
        <w:spacing w:before="120" w:after="0"/>
        <w:jc w:val="left"/>
        <w:rPr>
          <w:rFonts w:ascii="Times New Roman" w:hAnsi="Times New Roman"/>
          <w:sz w:val="20"/>
        </w:rPr>
      </w:pPr>
      <w:r>
        <w:rPr>
          <w:rFonts w:ascii="Times New Roman" w:hAnsi="Times New Roman"/>
          <w:sz w:val="20"/>
        </w:rPr>
        <w:t xml:space="preserve">Flutter is the world’s leading online sports betting and iGaming operator, with a market leading position in the US and across the world. Our ambition is to leverage our size and our challenger mindset to change our industry for the better. By Changing the Game, we believe we can deliver long-term growth while promoting a positive, sustainable future for all our stakeholders. We are well-placed to do so through the distinctive, global advantages of the Flutter Edge, which gives our brands access to group-wide benefits, as well as our clear vision for sustainability through our Positive Impact Plan.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Flutter operates a diverse portfolio of leading online sports betting and iGaming brands including FanDuel, Sky Betting &amp; Gaming, Sportsbet, PokerStars, Paddy Power, Sisal, Snai, tombola, Betfair, MaxBet, Junglee Games, Adjarabet and Betnacional. </w:t>
      </w:r>
    </w:p>
    <w:p>
      <w:pPr>
        <w:pStyle w:val="TextBody"/>
        <w:bidi w:val="0"/>
        <w:spacing w:before="240" w:after="0"/>
        <w:jc w:val="left"/>
        <w:rPr>
          <w:rFonts w:ascii="Times New Roman" w:hAnsi="Times New Roman"/>
          <w:sz w:val="20"/>
        </w:rPr>
      </w:pPr>
      <w:r>
        <w:rPr>
          <w:rFonts w:ascii="Times New Roman" w:hAnsi="Times New Roman"/>
          <w:sz w:val="20"/>
        </w:rPr>
        <w:t xml:space="preserve">To learn more about Flutter, please visit our website at </w:t>
      </w:r>
      <w:r>
        <w:rPr>
          <w:rFonts w:ascii="Times New Roman" w:hAnsi="Times New Roman"/>
          <w:sz w:val="20"/>
          <w:u w:val="single"/>
        </w:rPr>
        <w:t>www.flutter.com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Enquiries </w:t>
      </w:r>
    </w:p>
    <w:p>
      <w:pPr>
        <w:pStyle w:val="TextBody"/>
        <w:bidi w:val="0"/>
        <w:spacing w:before="120" w:after="0"/>
        <w:jc w:val="left"/>
        <w:rPr>
          <w:rFonts w:ascii="Times New Roman" w:hAnsi="Times New Roman"/>
          <w:sz w:val="20"/>
        </w:rPr>
      </w:pPr>
      <w:r>
        <w:rPr>
          <w:rFonts w:ascii="Times New Roman" w:hAnsi="Times New Roman"/>
          <w:sz w:val="20"/>
        </w:rPr>
        <w:t xml:space="preserve">Investor Relations: </w:t>
      </w:r>
      <w:r>
        <w:rPr>
          <w:rFonts w:ascii="Times New Roman" w:hAnsi="Times New Roman"/>
          <w:sz w:val="20"/>
          <w:u w:val="single"/>
        </w:rPr>
        <w:t>Investor.relations@flutter.com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Media Relations: </w:t>
      </w:r>
      <w:r>
        <w:rPr>
          <w:rFonts w:ascii="Times New Roman" w:hAnsi="Times New Roman"/>
          <w:sz w:val="20"/>
          <w:u w:val="single"/>
        </w:rPr>
        <w:t>corporatecomms@flutter.com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24525" cy="542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24525" cy="542925"/>
                    </a:xfrm>
                    <a:prstGeom prst="rect">
                      <a:avLst/>
                    </a:prstGeom>
                  </pic:spPr>
                </pic:pic>
              </a:graphicData>
            </a:graphic>
          </wp:inline>
        </w:drawing>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849</Words>
  <Characters>4666</Characters>
  <CharactersWithSpaces>5514</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