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346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465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40"/>
          </w:cols>
          <w:pgMar w:left="460" w:top="216" w:right="37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DART KENNETH BRYAN</w:t>
              </w:r>
            </w:hyperlink>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Flutter Entertainment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FLUT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280" w:type="dxa"/>
            <w:vAlign w:val="bottom"/>
            <w:tcBorders>
              <w:bottom w:val="single" w:sz="8" w:color="0000EE"/>
            </w:tcBorders>
            <w:gridSpan w:val="2"/>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280" w:type="dxa"/>
            <w:vAlign w:val="bottom"/>
            <w:gridSpan w:val="2"/>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03/18/2026</w:t>
            </w:r>
          </w:p>
        </w:tc>
        <w:tc>
          <w:tcPr>
            <w:tcW w:w="1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P. O. BOX 31300</w:t>
            </w: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5"/>
        </w:trPr>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gridSpan w:val="3"/>
            <w:vMerge w:val="continue"/>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22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60"/>
          </w:cols>
          <w:pgMar w:left="460" w:top="216" w:right="379" w:bottom="1440" w:gutter="0" w:footer="0" w:header="0"/>
          <w:type w:val="continuous"/>
        </w:sectPr>
      </w:pPr>
    </w:p>
    <w:p>
      <w:pPr>
        <w:ind w:left="120"/>
        <w:spacing w:after="0" w:line="187" w:lineRule="auto"/>
        <w:tabs>
          <w:tab w:leader="none" w:pos="1320" w:val="left"/>
        </w:tabs>
        <w:rPr>
          <w:sz w:val="20"/>
          <w:szCs w:val="20"/>
          <w:color w:val="auto"/>
        </w:rPr>
      </w:pPr>
      <w:r>
        <w:rPr>
          <w:rFonts w:ascii="Times New Roman" w:cs="Times New Roman" w:eastAsia="Times New Roman" w:hAnsi="Times New Roman"/>
          <w:sz w:val="13"/>
          <w:szCs w:val="13"/>
          <w:color w:val="0000FF"/>
        </w:rPr>
        <w:t>GRAND</w:t>
      </w:r>
      <w:r>
        <w:rPr>
          <w:sz w:val="20"/>
          <w:szCs w:val="20"/>
          <w:color w:val="auto"/>
        </w:rPr>
        <w:tab/>
      </w:r>
      <w:r>
        <w:rPr>
          <w:rFonts w:ascii="Times New Roman" w:cs="Times New Roman" w:eastAsia="Times New Roman" w:hAnsi="Times New Roman"/>
          <w:sz w:val="23"/>
          <w:szCs w:val="23"/>
          <w:color w:val="0000FF"/>
          <w:vertAlign w:val="subscript"/>
        </w:rPr>
        <w:t>E9</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CAYMAN</w:t>
      </w:r>
    </w:p>
    <w:p>
      <w:pPr>
        <w:spacing w:after="0" w:line="29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40" w:space="720"/>
            <w:col w:w="2800"/>
          </w:cols>
          <w:pgMar w:left="460" w:top="216" w:right="3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tbl>
      <w:tblPr>
        <w:tblLayout w:type="fixed"/>
        <w:tblInd w:w="80" w:type="dxa"/>
        <w:tblCellMar>
          <w:top w:w="0" w:type="dxa"/>
          <w:left w:w="0" w:type="dxa"/>
          <w:bottom w:w="0" w:type="dxa"/>
          <w:right w:w="0" w:type="dxa"/>
        </w:tblCellMar>
      </w:tblPr>
      <w:tr>
        <w:trPr>
          <w:trHeight w:val="165"/>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Total</w:t>
            </w:r>
          </w:p>
        </w:tc>
        <w:tc>
          <w:tcPr>
            <w:tcW w:w="700" w:type="dxa"/>
            <w:vAlign w:val="bottom"/>
            <w:vMerge w:val="restart"/>
          </w:tcPr>
          <w:p>
            <w:pPr>
              <w:jc w:val="right"/>
              <w:ind w:right="227"/>
              <w:spacing w:after="0"/>
              <w:rPr>
                <w:sz w:val="20"/>
                <w:szCs w:val="20"/>
                <w:color w:val="auto"/>
              </w:rPr>
            </w:pPr>
            <w:r>
              <w:rPr>
                <w:rFonts w:ascii="Times New Roman" w:cs="Times New Roman" w:eastAsia="Times New Roman" w:hAnsi="Times New Roman"/>
                <w:sz w:val="11"/>
                <w:szCs w:val="11"/>
                <w:color w:val="008000"/>
              </w:rPr>
              <w:t>(1)</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00" w:type="dxa"/>
            <w:vAlign w:val="bottom"/>
            <w:vMerge w:val="restart"/>
          </w:tcPr>
          <w:p>
            <w:pPr>
              <w:ind w:left="168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90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3"/>
        </w:trPr>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Return</w:t>
            </w:r>
          </w:p>
        </w:tc>
        <w:tc>
          <w:tcPr>
            <w:tcW w:w="700" w:type="dxa"/>
            <w:vAlign w:val="bottom"/>
            <w:vMerge w:val="continue"/>
          </w:tcPr>
          <w:p>
            <w:pPr>
              <w:spacing w:after="0"/>
              <w:rPr>
                <w:sz w:val="7"/>
                <w:szCs w:val="7"/>
                <w:color w:val="auto"/>
              </w:rPr>
            </w:pPr>
          </w:p>
        </w:tc>
        <w:tc>
          <w:tcPr>
            <w:tcW w:w="1580" w:type="dxa"/>
            <w:vAlign w:val="bottom"/>
            <w:vMerge w:val="restart"/>
          </w:tcPr>
          <w:p>
            <w:pPr>
              <w:jc w:val="right"/>
              <w:ind w:right="656"/>
              <w:spacing w:after="0"/>
              <w:rPr>
                <w:sz w:val="20"/>
                <w:szCs w:val="20"/>
                <w:color w:val="auto"/>
              </w:rPr>
            </w:pPr>
            <w:r>
              <w:rPr>
                <w:rFonts w:ascii="Times New Roman" w:cs="Times New Roman" w:eastAsia="Times New Roman" w:hAnsi="Times New Roman"/>
                <w:sz w:val="13"/>
                <w:szCs w:val="13"/>
                <w:color w:val="0000FF"/>
              </w:rPr>
              <w:t>03/18/2026</w:t>
            </w:r>
          </w:p>
        </w:tc>
        <w:tc>
          <w:tcPr>
            <w:tcW w:w="1180" w:type="dxa"/>
            <w:vAlign w:val="bottom"/>
            <w:vMerge w:val="restart"/>
          </w:tcPr>
          <w:p>
            <w:pPr>
              <w:ind w:left="720"/>
              <w:spacing w:after="0"/>
              <w:rPr>
                <w:sz w:val="20"/>
                <w:szCs w:val="20"/>
                <w:color w:val="auto"/>
              </w:rPr>
            </w:pPr>
            <w:r>
              <w:rPr>
                <w:rFonts w:ascii="Times New Roman" w:cs="Times New Roman" w:eastAsia="Times New Roman" w:hAnsi="Times New Roman"/>
                <w:sz w:val="13"/>
                <w:szCs w:val="13"/>
                <w:color w:val="0000FF"/>
              </w:rPr>
              <w:t>P/K</w:t>
            </w:r>
          </w:p>
        </w:tc>
        <w:tc>
          <w:tcPr>
            <w:tcW w:w="94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rPr>
              <w:t>400,000</w:t>
            </w:r>
          </w:p>
        </w:tc>
        <w:tc>
          <w:tcPr>
            <w:tcW w:w="2900" w:type="dxa"/>
            <w:vAlign w:val="bottom"/>
            <w:vMerge w:val="restart"/>
          </w:tcPr>
          <w:p>
            <w:pPr>
              <w:ind w:left="220"/>
              <w:spacing w:after="0" w:line="153" w:lineRule="exact"/>
              <w:rPr>
                <w:sz w:val="20"/>
                <w:szCs w:val="20"/>
                <w:color w:val="auto"/>
              </w:rPr>
            </w:pPr>
            <w:r>
              <w:rPr>
                <w:rFonts w:ascii="Times New Roman" w:cs="Times New Roman" w:eastAsia="Times New Roman" w:hAnsi="Times New Roman"/>
                <w:sz w:val="10"/>
                <w:szCs w:val="10"/>
                <w:color w:val="0000FF"/>
              </w:rPr>
              <w:t xml:space="preserve">03/02/2028   03/02/2028    </w:t>
            </w:r>
            <w:r>
              <w:rPr>
                <w:rFonts w:ascii="Times New Roman" w:cs="Times New Roman" w:eastAsia="Times New Roman" w:hAnsi="Times New Roman"/>
                <w:sz w:val="17"/>
                <w:szCs w:val="17"/>
                <w:color w:val="0000FF"/>
                <w:vertAlign w:val="subscript"/>
              </w:rPr>
              <w:t>Stock</w:t>
            </w:r>
            <w:r>
              <w:rPr>
                <w:rFonts w:ascii="Times New Roman" w:cs="Times New Roman" w:eastAsia="Times New Roman" w:hAnsi="Times New Roman"/>
                <w:sz w:val="10"/>
                <w:szCs w:val="10"/>
                <w:color w:val="0000FF"/>
              </w:rPr>
              <w:t xml:space="preserve">    </w:t>
            </w:r>
            <w:r>
              <w:rPr>
                <w:rFonts w:ascii="Times New Roman" w:cs="Times New Roman" w:eastAsia="Times New Roman" w:hAnsi="Times New Roman"/>
                <w:sz w:val="12"/>
                <w:szCs w:val="12"/>
                <w:color w:val="0000FF"/>
              </w:rPr>
              <w:t>400,000</w:t>
            </w:r>
          </w:p>
        </w:tc>
        <w:tc>
          <w:tcPr>
            <w:tcW w:w="74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108.4069</w:t>
            </w:r>
          </w:p>
        </w:tc>
        <w:tc>
          <w:tcPr>
            <w:tcW w:w="92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rPr>
              <w:t>7,453,418</w:t>
            </w: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I</w:t>
            </w:r>
          </w:p>
        </w:tc>
        <w:tc>
          <w:tcPr>
            <w:tcW w:w="760" w:type="dxa"/>
            <w:vAlign w:val="bottom"/>
            <w:vMerge w:val="restart"/>
          </w:tcPr>
          <w:p>
            <w:pPr>
              <w:ind w:left="200"/>
              <w:spacing w:after="0" w:line="153"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(2)</w:t>
            </w:r>
          </w:p>
        </w:tc>
        <w:tc>
          <w:tcPr>
            <w:tcW w:w="0" w:type="dxa"/>
            <w:vAlign w:val="bottom"/>
          </w:tcPr>
          <w:p>
            <w:pPr>
              <w:spacing w:after="0"/>
              <w:rPr>
                <w:sz w:val="1"/>
                <w:szCs w:val="1"/>
                <w:color w:val="auto"/>
              </w:rPr>
            </w:pPr>
          </w:p>
        </w:tc>
      </w:tr>
      <w:tr>
        <w:trPr>
          <w:trHeight w:val="70"/>
        </w:trPr>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29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Swap</w:t>
            </w:r>
          </w:p>
        </w:tc>
        <w:tc>
          <w:tcPr>
            <w:tcW w:w="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40"/>
        <w:spacing w:after="0" w:line="259"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reference price for the Swap is $108.4069 per share. The Swap is scheduled to terminate on March 2, 2028, at which time the Swap will be cash-settled. Under the terms of the Swap, at maturity: (i)the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SOFR. Additionally, the Reporting Person is entitled to receive payments from the counterparty equal to any dividends paid on the referenced shares during the term of the Swap.</w:t>
      </w:r>
    </w:p>
    <w:p>
      <w:pPr>
        <w:spacing w:after="0" w:line="14" w:lineRule="exact"/>
        <w:rPr>
          <w:rFonts w:ascii="Times New Roman" w:cs="Times New Roman" w:eastAsia="Times New Roman" w:hAnsi="Times New Roman"/>
          <w:sz w:val="12"/>
          <w:szCs w:val="12"/>
          <w:color w:val="008000"/>
        </w:rPr>
      </w:pPr>
    </w:p>
    <w:p>
      <w:pPr>
        <w:ind w:left="40" w:right="3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LBS Limited is the party to the Swap and direct "holder" of the "notional" shares. As owner of LBS Limited, Mr. Dart may be deemed to beneficially own the reported securities but disclaims such beneficial ownership except to the extent of his pecuniary interest therein.</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/s/Kenneth B Dart</w:t>
            </w:r>
          </w:p>
        </w:tc>
        <w:tc>
          <w:tcPr>
            <w:tcW w:w="10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03/20/2026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68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1271"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2026-03-20T15:27:57Z</dcterms:created>
  <dcterms:modified xsi:type="dcterms:W3CDTF">2026-03-20T15:27:57Z</dcterms:modified>
</cp:coreProperties>
</file>