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47695.xml.htm"/>
      <w:bookmarkStart w:id="1" w:name="kswkform4_178844769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Taylor Daniel Mark</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FLUTTER ENTERTAINMENT PLC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MADISON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Flutter Entertainment plc</w:t>
              </w:r>
            </w:hyperlink>
            <w:r>
              <w:rPr/>
              <w:t xml:space="preserve"> [ </w:t>
            </w:r>
            <w:r>
              <w:rPr>
                <w:rFonts w:ascii="Times;serif" w:hAnsi="Times;serif"/>
                <w:color w:val="0000FF"/>
                <w:sz w:val="24"/>
                <w:shd w:fill="FFFFFF" w:val="clear"/>
              </w:rPr>
              <w:t>FLUT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FLUT; CEO FLUT Intl</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5"/>
        <w:gridCol w:w="903"/>
        <w:gridCol w:w="772"/>
        <w:gridCol w:w="600"/>
        <w:gridCol w:w="349"/>
        <w:gridCol w:w="807"/>
        <w:gridCol w:w="457"/>
        <w:gridCol w:w="840"/>
        <w:gridCol w:w="1168"/>
        <w:gridCol w:w="1001"/>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Shares</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791</w:t>
            </w:r>
            <w:r>
              <w:rPr>
                <w:rFonts w:ascii="Times;serif" w:hAnsi="Times;serif"/>
                <w:color w:val="008000"/>
                <w:position w:val="7"/>
                <w:sz w:val="16"/>
                <w:sz w:val="20"/>
                <w:shd w:fill="FFFFFF" w:val="clear"/>
              </w:rPr>
              <w:t>(1)</w:t>
            </w:r>
          </w:p>
        </w:tc>
        <w:tc>
          <w:tcPr>
            <w:tcW w:w="45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97.859</w:t>
            </w:r>
          </w:p>
        </w:tc>
        <w:tc>
          <w:tcPr>
            <w:tcW w:w="11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52,467</w:t>
            </w:r>
          </w:p>
        </w:tc>
        <w:tc>
          <w:tcPr>
            <w:tcW w:w="10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606"/>
        <w:gridCol w:w="906"/>
        <w:gridCol w:w="801"/>
        <w:gridCol w:w="861"/>
        <w:gridCol w:w="801"/>
        <w:gridCol w:w="801"/>
        <w:gridCol w:w="936"/>
        <w:gridCol w:w="831"/>
        <w:gridCol w:w="846"/>
      </w:tblGrid>
      <w:tr>
        <w:trPr>
          <w:tblHeader w:val="true"/>
        </w:trPr>
        <w:tc>
          <w:tcPr>
            <w:tcW w:w="124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Nil Cost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7,902</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03/07/2033</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7,902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Nil Cost Options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D</w:t>
            </w:r>
            <w:r>
              <w:rPr>
                <w:rFonts w:ascii="Times;serif" w:hAnsi="Times;serif"/>
                <w:color w:val="008000"/>
                <w:position w:val="7"/>
                <w:sz w:val="16"/>
                <w:sz w:val="20"/>
                <w:shd w:fill="FFFFFF" w:val="clear"/>
              </w:rPr>
              <w:t>(2)</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5,639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04/02/2034</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5,639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(2)</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13,541</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(6)</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13,541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13,541</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to cover tax withholding liability in connection with the vesting and settlement of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Reflects the conversion of Nil Cost Options to RSU awards subject to the same terms and conditions as the Nil Cost Options. No new grants were made in connection with these conversions.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options vest on October 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options vest on September 1,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Each RSU represents the contingent right to receive one ordinary share.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These RSUs vest as follows: (a) 7,902 vest on October 1, 2026, and (b) 5,639 vest on September 1, 2027.</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Rebecca Sweeney,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12952" TargetMode="External"/><Relationship Id="rId5" Type="http://schemas.openxmlformats.org/officeDocument/2006/relationships/hyperlink" Target="http://www.sec.gov/cgi-bin/browse-edgar?action=getcompany&amp;CIK=000163532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721</Words>
  <Characters>3837</Characters>
  <CharactersWithSpaces>4448</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