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00994d8k.htm"/>
      <w:bookmarkStart w:id="1" w:name="ksd40099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Flutter Entertainment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Ireland</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001-37403</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98-1782229</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Madison Avenue</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10010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(646) 930-0950</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4805"/>
        <w:gridCol w:w="60"/>
        <w:gridCol w:w="740"/>
        <w:gridCol w:w="60"/>
        <w:gridCol w:w="2660"/>
      </w:tblGrid>
      <w:tr>
        <w:trPr/>
        <w:tc>
          <w:tcPr>
            <w:tcW w:w="4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8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05" w:type="dxa"/>
            <w:tcBorders/>
            <w:vAlign w:val="center"/>
          </w:tcPr>
          <w:p>
            <w:pPr>
              <w:pStyle w:val="TableContents"/>
              <w:bidi w:val="0"/>
              <w:spacing w:before="0" w:after="283"/>
              <w:jc w:val="center"/>
              <w:rPr/>
            </w:pPr>
            <w:r>
              <w:rPr/>
              <w:t>Ordinary Shares, nominal value of €0.09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FLUT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40" w:type="dxa"/>
        <w:jc w:val="left"/>
        <w:tblInd w:w="0" w:type="dxa"/>
        <w:tblLayout w:type="fixed"/>
        <w:tblCellMar>
          <w:top w:w="0" w:type="dxa"/>
          <w:left w:w="0" w:type="dxa"/>
          <w:bottom w:w="0" w:type="dxa"/>
          <w:right w:w="0" w:type="dxa"/>
        </w:tblCellMar>
      </w:tblPr>
      <w:tblGrid>
        <w:gridCol w:w="965"/>
        <w:gridCol w:w="4175"/>
      </w:tblGrid>
      <w:tr>
        <w:trPr/>
        <w:tc>
          <w:tcPr>
            <w:tcW w:w="96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Flutter Entertainment plc (the “Company”) committed to a restructuring plan affecting the Company’s United Kingdom &amp; Ireland (“UK&amp;I”) business, including its operations in the UK and Ireland, and UK&amp;I staff at Flutter hubs, including in Portugal and Romania (the “Restructuring Plan”). The Restructuring Plan is designed to mitigate the impact of increases in UK gaming taxation, in accordance with the Company’s previously announced UK gaming tax mitigation plans. The Restructuring Plan is expected to entail a reduction in headcount of up to 1,400 employees. The Company began notifying affected employees of the actions contemplated by the Restructuring Plan on October 20,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estimates that it will incur aggregate pre-tax charges of approximately $80 to $90 million in connection with the Restructuring Plan, consisting primarily of cash expenditure related to employee severance, benefits, and related costs. The Company also expects to record certain non-cash charges in respect of stock-based compensation; however, such charges cannot be reasonably estimated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The associated costs to implement the Restructuring Plan were captured within the updated guidance issued within Flutter’s Earnings Update for the quarter ended June 30,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substantially complete the Restructuring Plan by the end of 2026 with associated charges to be incurred in the fourth quarter of 2026, subject to applicable legal and employee notice and consultation requirements. The charges that the Company expects to incur in connection with the Restructuring Plan are estimates and are subject to a number of assumptions. Actual results may differ materially from these estimates. The Company may also incur additional costs not currently contemplated due to events that may occur as a result of, or that are associated with, the Restructuring Plan.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20, 2026, Flutter issued a press release regarding its UK&amp;I Restructuring Plan, which is furnished as Exhibit 99.1 to this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In some cases, you can identify these forward-looking statements by the use of words such as “outlook”, “believe(s)”,” expect(s)”, “potential”, “continue(s)”, “may”, “will”, “should”, “could”, “would”, “seek(s)”, “predict(s)”, “intend(s)”, “trends”, “plan(s)”, “estimate(s)”, “anticipates”, “projection”, “goal”, “target”, “aspire”, “will likely result”, and or the negative version of these words or other comparable words of a future or forward-looking nature. Such forward-looking statements are subject to various risks and uncertainties and there are or will be important factors that could cause actual outcomes or results to differ materially from those indicated in these statements. The ability to predict results or actual effects of our plans and strategies is inherently uncertain. Accordingly, actual results may differ materially from those expressed in, or implied by, the forward-looking statements. In addition, we may incur additional or unexpected costs in connection with the matters discussed in this press release. The ability to predict results or actual effects of our plans and strategies is inherently uncertain. Accordingly, actual results may differ materially from those expressed in,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Flutter’s results to differ materially from those described in the forward-looking statements can be found in Part I, “Item 1A. Risk Factors” of Flutter’s Annual Report on Form 10-K for the fiscal year ended December 31, 2025, as filed with the Securities and Exchange Commission (the “SEC”) and other periodic filings with the SEC, which are accessible on the SEC’s website at www.sec.gov. Flutter undertakes no obligation to publicly update or review any forward-looking statement, whether as a result of new information, future developments or otherwise, except as required by law.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560"/>
        <w:gridCol w:w="120"/>
        <w:gridCol w:w="7520"/>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20"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hyperlink w:anchor="d400994dex991.htm">
              <w:r>
                <w:rPr>
                  <w:rStyle w:val="InternetLink"/>
                </w:rPr>
                <w:t xml:space="preserve">Press Release dated October 20,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640"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283"/>
              <w:jc w:val="left"/>
              <w:rPr/>
            </w:pPr>
            <w:r>
              <w:rPr/>
              <w:t>The cover page of this Current Report on Form 8-K, formatted in Inline XBRL</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57" w:type="dxa"/>
        <w:jc w:val="left"/>
        <w:tblInd w:w="0" w:type="dxa"/>
        <w:tblLayout w:type="fixed"/>
        <w:tblCellMar>
          <w:top w:w="0" w:type="dxa"/>
          <w:left w:w="0" w:type="dxa"/>
          <w:bottom w:w="0" w:type="dxa"/>
          <w:right w:w="0" w:type="dxa"/>
        </w:tblCellMar>
      </w:tblPr>
      <w:tblGrid>
        <w:gridCol w:w="2270"/>
        <w:gridCol w:w="60"/>
        <w:gridCol w:w="23"/>
        <w:gridCol w:w="60"/>
        <w:gridCol w:w="656"/>
        <w:gridCol w:w="60"/>
        <w:gridCol w:w="1928"/>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b/>
              </w:rPr>
            </w:pPr>
            <w:r>
              <w:rPr>
                <w:b/>
              </w:rPr>
              <w:t>Flutter Entertainment plc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44" w:type="dxa"/>
            <w:gridSpan w:val="3"/>
            <w:tcBorders/>
            <w:vAlign w:val="center"/>
          </w:tcPr>
          <w:p>
            <w:pPr>
              <w:pStyle w:val="TableContents"/>
              <w:bidi w:val="0"/>
              <w:spacing w:before="0" w:after="283"/>
              <w:jc w:val="left"/>
              <w:rPr/>
            </w:pPr>
            <w:r>
              <w:rPr/>
              <w:t>(Registrant)</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1988"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20,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Edward Traynor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Edward Traynor</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1928" w:type="dxa"/>
            <w:tcBorders/>
            <w:vAlign w:val="center"/>
          </w:tcPr>
          <w:p>
            <w:pPr>
              <w:pStyle w:val="TableContents"/>
              <w:bidi w:val="0"/>
              <w:spacing w:before="0" w:after="283"/>
              <w:jc w:val="left"/>
              <w:rPr/>
            </w:pPr>
            <w:r>
              <w:rPr/>
              <w:t>Company Secretary</w:t>
            </w:r>
          </w:p>
        </w:tc>
      </w:tr>
    </w:tbl>
    <w:p>
      <w:pPr>
        <w:pStyle w:val="TextBody"/>
        <w:bidi w:val="0"/>
        <w:spacing w:before="0" w:after="0"/>
        <w:jc w:val="right"/>
        <w:rPr>
          <w:rFonts w:ascii="Times New Roman" w:hAnsi="Times New Roman"/>
          <w:b/>
          <w:sz w:val="20"/>
        </w:rPr>
      </w:pPr>
      <w:bookmarkStart w:id="2" w:name="d400994dex991.htm"/>
      <w:bookmarkStart w:id="3" w:name="ksd40099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7848600" cy="1485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48600" cy="14859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New York, October 20, 2026: Flutter Entertainment plc (NYSE: FLUT) (“Flutter”) the world’s leading online sports betting and iGaming operator announces the restructuring of its UK &amp; Ireland business in response to the increase in UK gaming taxes announced in the 2025 Autumn budget. </w:t>
      </w:r>
    </w:p>
    <w:p>
      <w:pPr>
        <w:pStyle w:val="TextBody"/>
        <w:bidi w:val="0"/>
        <w:spacing w:before="240" w:after="0"/>
        <w:jc w:val="left"/>
        <w:rPr>
          <w:rFonts w:ascii="Times New Roman" w:hAnsi="Times New Roman"/>
          <w:sz w:val="20"/>
        </w:rPr>
      </w:pPr>
      <w:r>
        <w:rPr>
          <w:rFonts w:ascii="Times New Roman" w:hAnsi="Times New Roman"/>
          <w:sz w:val="20"/>
        </w:rPr>
        <w:t xml:space="preserve">Flutter announced plans today to restructure its UK &amp; Ireland business. This restructuring forms part of the already guided first-order cost mitigation1 in response to the significant increase in UK gaming taxation announced in last year’s Autumn Budget by the UK Government2. </w:t>
      </w:r>
    </w:p>
    <w:p>
      <w:pPr>
        <w:pStyle w:val="TextBody"/>
        <w:bidi w:val="0"/>
        <w:spacing w:before="240" w:after="0"/>
        <w:jc w:val="left"/>
        <w:rPr>
          <w:rFonts w:ascii="Times New Roman" w:hAnsi="Times New Roman"/>
          <w:sz w:val="20"/>
        </w:rPr>
      </w:pPr>
      <w:r>
        <w:rPr>
          <w:rFonts w:ascii="Times New Roman" w:hAnsi="Times New Roman"/>
          <w:sz w:val="20"/>
        </w:rPr>
        <w:t xml:space="preserve">Whilst these plans will be subject to consultation, it is expected to result in up to 1,400 redundancies. The decision will impact colleagues in a number of locations including Leeds, UK and Dublin, Ireland as well as UK &amp; Ireland staff at Flutter hubs including Porto, Portugal and Cluj-Napoca, Romania.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expect these tax increases to have a very significant impact on the overall market. The restructure announced today is expected to support Flutter in delivering material second order mitigation benefits, by preserving investment in our customer proposition, and underpins our confidence in our ability to gain share. </w:t>
      </w:r>
    </w:p>
    <w:p>
      <w:pPr>
        <w:pStyle w:val="TextBody"/>
        <w:bidi w:val="0"/>
        <w:spacing w:before="240" w:after="0"/>
        <w:jc w:val="left"/>
        <w:rPr>
          <w:rFonts w:ascii="Times New Roman" w:hAnsi="Times New Roman"/>
          <w:sz w:val="20"/>
        </w:rPr>
      </w:pPr>
      <w:r>
        <w:rPr>
          <w:rFonts w:ascii="Times New Roman" w:hAnsi="Times New Roman"/>
          <w:sz w:val="20"/>
        </w:rPr>
        <w:t xml:space="preserve">The associated costs to implement this restructuring of $80m - $90m were captured within the updated guidance issued within Flutter’s Q2 earnings update3 and will be incurred in Q4 2026. </w:t>
      </w:r>
    </w:p>
    <w:p>
      <w:pPr>
        <w:pStyle w:val="TextBody"/>
        <w:bidi w:val="0"/>
        <w:spacing w:before="240" w:after="0"/>
        <w:jc w:val="left"/>
        <w:rPr>
          <w:rFonts w:ascii="Times New Roman" w:hAnsi="Times New Roman"/>
          <w:sz w:val="20"/>
        </w:rPr>
      </w:pPr>
      <w:r>
        <w:rPr>
          <w:rFonts w:ascii="Times New Roman" w:hAnsi="Times New Roman"/>
          <w:sz w:val="20"/>
        </w:rPr>
        <w:t xml:space="preserve">Flutter employs 28,500 people globally including 9,000 who work in the UK &amp; Ireland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Kevin Harrington, Flutter UK &amp; Ireland, Chief Executive, commented: </w:t>
      </w:r>
    </w:p>
    <w:p>
      <w:pPr>
        <w:pStyle w:val="TextBody"/>
        <w:bidi w:val="0"/>
        <w:spacing w:before="120" w:after="0"/>
        <w:jc w:val="left"/>
        <w:rPr/>
      </w:pPr>
      <w:r>
        <w:rPr/>
        <w:t>“</w:t>
      </w:r>
      <w:r>
        <w:rPr>
          <w:rFonts w:ascii="Times New Roman" w:hAnsi="Times New Roman"/>
          <w:i/>
          <w:sz w:val="20"/>
        </w:rPr>
        <w:t xml:space="preserve">My immediate focus is providing the necessary support for all of our impacted colleagues and guiding our teams through what we know is going to be a difficult and challenging period for all concerned. </w:t>
      </w:r>
    </w:p>
    <w:p>
      <w:pPr>
        <w:pStyle w:val="TextBody"/>
        <w:bidi w:val="0"/>
        <w:spacing w:before="240" w:after="0"/>
        <w:jc w:val="left"/>
        <w:rPr/>
      </w:pPr>
      <w:r>
        <w:rPr/>
        <w:t>“</w:t>
      </w:r>
      <w:r>
        <w:rPr>
          <w:rFonts w:ascii="Times New Roman" w:hAnsi="Times New Roman"/>
          <w:i/>
          <w:sz w:val="20"/>
        </w:rPr>
        <w:t xml:space="preserve">The material increase in betting and gaming duties announced in the UK Budget last year has fundamentally changed the economic model of the regulated betting and gaming industry in the UK while helping to fuel the unlicensed, unregulated market. </w:t>
      </w:r>
    </w:p>
    <w:p>
      <w:pPr>
        <w:pStyle w:val="TextBody"/>
        <w:bidi w:val="0"/>
        <w:spacing w:before="240" w:after="0"/>
        <w:jc w:val="left"/>
        <w:rPr/>
      </w:pPr>
      <w:r>
        <w:rPr/>
        <w:t>“</w:t>
      </w:r>
      <w:r>
        <w:rPr>
          <w:rFonts w:ascii="Times New Roman" w:hAnsi="Times New Roman"/>
          <w:i/>
          <w:sz w:val="20"/>
        </w:rPr>
        <w:t>As we warned a year ago, we cannot fully absorb a rise of this magnitude without reducing our fixed cost base and therefore must restructure our business so that we can best position ourselves for the future.</w:t>
      </w:r>
    </w:p>
    <w:p>
      <w:pPr>
        <w:pStyle w:val="TextBody"/>
        <w:bidi w:val="0"/>
        <w:spacing w:before="240" w:after="0"/>
        <w:jc w:val="left"/>
        <w:rPr/>
      </w:pPr>
      <w:r>
        <w:rPr/>
        <w:t>“</w:t>
      </w:r>
      <w:r>
        <w:rPr>
          <w:rFonts w:ascii="Times New Roman" w:hAnsi="Times New Roman"/>
          <w:i/>
          <w:sz w:val="20"/>
        </w:rPr>
        <w:t xml:space="preserve">We remain confident that we are well placed to benefit from share gains given our position as the largest scale operator in the UK.”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line with previous guidance, the total adjusted EBITDA impact of changes to UK iGaming taxes in 2027 was $540m which we expect to offset with $201m of first order mitigation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from April 2026, iGaming increased 19 percentage points to 40 percent. Effective from April 2027, Sports betting (ex-horseracing) increases 10 percentage points to 25 percent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Q2 2026, Flutter increased guidance relating to restructuring, transaction and integration costs to $500m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In some cases, you can identify these forward-looking statements by the use of words such as “outlook”, “believe(s)”, ”expect(s)”, “potential”, “continue(s)”, “may”, “will”, “should”, “could”, “would”, “seek(s)”, “predict(s)”, “intend(s)”, “trends”, “plan(s)”, “estimate(s)”, “anticipates”, “projection”, “goal”, “target”, “aspire”, “will likely result”, and or the negative version of these words or other comparable words of a future or forward-looking nature. Such forward-looking statements are subject to various risks and uncertainties and there are or will be important factors that could cause actual outcomes or results to differ materially from those indicated in these statements. The ability to predict results or actual effects of our plans and strategies is inherently uncertain. Accordingly, actual results may differ materially from those expressed in, or implied by, the forward-looking statements. In addition, we may incur additional or unexpected costs in connection with the matters discussed in this press release. The ability to predict results or actual effects of our plans and strategies is inherently uncertain. Accordingly, actual results may differ materially from those expressed in,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Flutter’s results to differ materially from those described in the forward-looking statements can be found in Part I, “Item 1A. Risk Factors” of Flutter’s Annual Report on Form 10-K for the fiscal year ended December 31, 2025 as filed with the Securities and Exchange Commission (the “SEC”) and other periodic filings with the SEC, which are accessible on the SEC’s website at www.sec.gov. Flutter undertakes no obligation to publicly update or review any forward-looking statement, whether as a result of new information, future developments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Flutter Entertainment plc </w:t>
      </w:r>
    </w:p>
    <w:p>
      <w:pPr>
        <w:pStyle w:val="TextBody"/>
        <w:bidi w:val="0"/>
        <w:spacing w:before="120" w:after="0"/>
        <w:jc w:val="left"/>
        <w:rPr>
          <w:rFonts w:ascii="Times New Roman" w:hAnsi="Times New Roman"/>
          <w:sz w:val="20"/>
        </w:rPr>
      </w:pPr>
      <w:r>
        <w:rPr>
          <w:rFonts w:ascii="Times New Roman" w:hAnsi="Times New Roman"/>
          <w:sz w:val="20"/>
        </w:rPr>
        <w:t xml:space="preserve">Flutter is the world’s leading online sports betting and iGaming operator, with a market leading position in the US and across the world. Our ambition is to leverage our size and our challenger mindset to change our industry for the better. By Changing the Game, we believe we can deliver long-term growth while promoting a positive, sustainable future for all our stakeholders. We are well-placed to do so through the distinctive, global advantages of the Flutter Edge, which gives our brands access to group-wide benefits, as well as our clear vision for sustainability through our Positive Impact Plan. </w:t>
      </w:r>
    </w:p>
    <w:p>
      <w:pPr>
        <w:pStyle w:val="TextBody"/>
        <w:bidi w:val="0"/>
        <w:spacing w:before="240" w:after="0"/>
        <w:jc w:val="left"/>
        <w:rPr>
          <w:rFonts w:ascii="Times New Roman" w:hAnsi="Times New Roman"/>
          <w:sz w:val="20"/>
        </w:rPr>
      </w:pPr>
      <w:r>
        <w:rPr>
          <w:rFonts w:ascii="Times New Roman" w:hAnsi="Times New Roman"/>
          <w:sz w:val="20"/>
        </w:rPr>
        <w:t xml:space="preserve">Flutter operates a diverse portfolio of leading online sports betting and iGaming brands including FanDuel, Sky Betting &amp; Gaming, Sportsbet, PokerStars, Paddy Power, Sisal, Snai, tombola, Betfair, MaxBet, Adjarabet and Betnacional. We are the industry leader with $16,383m of revenue globally for fiscal 2025, up 17% YoY, and $4,326m of revenue globally for the quarter ended June 30, 2026.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5"/>
        <w:gridCol w:w="120"/>
        <w:gridCol w:w="4910"/>
      </w:tblGrid>
      <w:tr>
        <w:trPr/>
        <w:tc>
          <w:tcPr>
            <w:tcW w:w="5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10"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Investor Relations:</w:t>
            </w:r>
          </w:p>
        </w:tc>
        <w:tc>
          <w:tcPr>
            <w:tcW w:w="120"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Media Relations:</w:t>
            </w:r>
          </w:p>
        </w:tc>
      </w:tr>
      <w:tr>
        <w:trPr>
          <w:trHeight w:val="120" w:hRule="atLeast"/>
        </w:trPr>
        <w:tc>
          <w:tcPr>
            <w:tcW w:w="5175" w:type="dxa"/>
            <w:tcBorders/>
            <w:vAlign w:val="center"/>
          </w:tcPr>
          <w:p>
            <w:pPr>
              <w:pStyle w:val="TableContents"/>
              <w:bidi w:val="0"/>
              <w:spacing w:before="0" w:after="283"/>
              <w:jc w:val="left"/>
              <w:rPr>
                <w:sz w:val="4"/>
                <w:szCs w:val="4"/>
              </w:rPr>
            </w:pPr>
            <w:r>
              <w:rPr>
                <w:sz w:val="4"/>
                <w:szCs w:val="4"/>
              </w:rPr>
            </w:r>
          </w:p>
        </w:tc>
        <w:tc>
          <w:tcPr>
            <w:tcW w:w="5030" w:type="dxa"/>
            <w:gridSpan w:val="2"/>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Paul Tymms, Investor Relations</w:t>
            </w:r>
          </w:p>
        </w:tc>
        <w:tc>
          <w:tcPr>
            <w:tcW w:w="120"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Kate Delahunty, Corporate Communications</w:t>
            </w:r>
          </w:p>
        </w:tc>
      </w:tr>
      <w:tr>
        <w:trPr/>
        <w:tc>
          <w:tcPr>
            <w:tcW w:w="5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Ciara O’Mullane, Investor Relations</w:t>
            </w:r>
          </w:p>
        </w:tc>
        <w:tc>
          <w:tcPr>
            <w:tcW w:w="120"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Lindsay Dunford, Corporate Communications</w:t>
            </w:r>
          </w:p>
        </w:tc>
      </w:tr>
      <w:tr>
        <w:trPr/>
        <w:tc>
          <w:tcPr>
            <w:tcW w:w="5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Sophie Nottage, Investor Relations</w:t>
            </w:r>
          </w:p>
        </w:tc>
        <w:tc>
          <w:tcPr>
            <w:tcW w:w="120"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Rob Allen, Corporate Communications</w:t>
            </w:r>
          </w:p>
        </w:tc>
      </w:tr>
      <w:tr>
        <w:trPr/>
        <w:tc>
          <w:tcPr>
            <w:tcW w:w="5175"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Email</w:t>
            </w:r>
            <w:r>
              <w:rPr>
                <w:rFonts w:ascii="Times New Roman" w:hAnsi="Times New Roman"/>
                <w:sz w:val="20"/>
              </w:rPr>
              <w:t>: </w:t>
            </w:r>
            <w:r>
              <w:rPr>
                <w:rFonts w:ascii="Times New Roman" w:hAnsi="Times New Roman"/>
                <w:sz w:val="20"/>
                <w:u w:val="single"/>
              </w:rPr>
              <w:t>investor.relations@flutter.com</w:t>
            </w:r>
          </w:p>
        </w:tc>
        <w:tc>
          <w:tcPr>
            <w:tcW w:w="120" w:type="dxa"/>
            <w:tcBorders/>
            <w:vAlign w:val="bottom"/>
          </w:tcPr>
          <w:p>
            <w:pPr>
              <w:pStyle w:val="TableContents"/>
              <w:bidi w:val="0"/>
              <w:spacing w:before="0" w:after="283"/>
              <w:jc w:val="left"/>
              <w:rPr/>
            </w:pPr>
            <w:r>
              <w:rPr/>
              <w:t>  </w:t>
            </w:r>
          </w:p>
        </w:tc>
        <w:tc>
          <w:tcPr>
            <w:tcW w:w="4910" w:type="dxa"/>
            <w:tcBorders/>
            <w:vAlign w:val="bottom"/>
          </w:tcPr>
          <w:p>
            <w:pPr>
              <w:pStyle w:val="TableContents"/>
              <w:bidi w:val="0"/>
              <w:spacing w:before="0" w:after="0"/>
              <w:jc w:val="left"/>
              <w:rPr>
                <w:rFonts w:ascii="Times New Roman" w:hAnsi="Times New Roman"/>
                <w:sz w:val="20"/>
              </w:rPr>
            </w:pPr>
            <w:r>
              <w:rPr>
                <w:rFonts w:ascii="Times New Roman" w:hAnsi="Times New Roman"/>
                <w:b/>
                <w:sz w:val="20"/>
              </w:rPr>
              <w:t>Email:</w:t>
            </w:r>
            <w:r>
              <w:rPr>
                <w:rFonts w:ascii="Times New Roman" w:hAnsi="Times New Roman"/>
                <w:sz w:val="20"/>
              </w:rPr>
              <w:t> </w:t>
            </w:r>
            <w:r>
              <w:rPr>
                <w:rFonts w:ascii="Times New Roman" w:hAnsi="Times New Roman"/>
                <w:sz w:val="20"/>
                <w:u w:val="single"/>
              </w:rPr>
              <w:t>corporatecomms@flutter.com</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73914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391400" cy="71437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2001</Words>
  <Characters>11354</Characters>
  <CharactersWithSpaces>13355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