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DART KENNETH BRYAN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31300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Flutter Entertainment plc</w:t>
              </w:r>
            </w:hyperlink>
            <w:r>
              <w:rPr/>
              <w:t xml:space="preserve"> [ </w:t>
            </w:r>
            <w:r>
              <w:rPr>
                <w:rFonts w:ascii="Times;serif" w:hAnsi="Times;serif"/>
                <w:color w:val="0000FF"/>
                <w:sz w:val="24"/>
                <w:shd w:fill="FFFFFF" w:val="clear"/>
              </w:rPr>
              <w:t>FLUT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9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16"/>
        <w:gridCol w:w="1131"/>
        <w:gridCol w:w="831"/>
        <w:gridCol w:w="90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Total Return Swap</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P/K</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29,175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29,175</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96.8462</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21,797,148</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reference price for the Swap is $96.8462 per share. The Swap is scheduled to terminate on March 2, 2028, at which time the Swap will be cash-settled. Under the terms of the Swap, at maturity: (i) the Reporting Person will be obligated to pay to the counterparty any decrease in the market price of the referenced shares below the reference price, and (ii) the counterparty will be obligated to pay the Reporting Person any increase in the market price of the referenced shares above the reference price. The Swap requires the Reporting Person to pay monthly interest to the counterparty on the financing leg of the Swap at a rate based on OBFR. Additionally, the Reporting Person is entitled to receive payments from the counterparty equal to any dividends paid on the referenced shares during the term of the Swap.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Lake Michigan Limited is the party to the reported transaction and direct "holder" of the "notional" shares. Lake Michigan Limited and LBS Limited were parties to previously reported swap transactions that provide an aggregate position in 21,767,973 "notional" shares. As owner of LBS Limited and Lake Michigan Limited, Mr. Dart may be deemed to beneficially own the reported securities but disclaims such beneficial ownership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/s/Kenneth B Dart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1271" TargetMode="External"/><Relationship Id="rId5" Type="http://schemas.openxmlformats.org/officeDocument/2006/relationships/hyperlink" Target="http://www.sec.gov/cgi-bin/browse-edgar?action=getcompany&amp;CIK=0001635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785</Words>
  <Characters>4213</Characters>
  <CharactersWithSpaces>4927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