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643d8ka.htm"/>
      <w:bookmarkStart w:id="1" w:name="ksd122643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Madison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a Form 8-K filed by Flutter Entertainment plc (the “Company” or “Flutter”) with the Securities and Exchange Commission on August 5, 2026 (the “Original Form 8-K”), the Company appointed Dan Taylor as the Company’s next Chief Executive Officer and a member of the Board of Directors (the “Board”), effective October 1, 2026. This Amendment No. 1 is being filed to disclose Mr. Taylor’s compensation arrangements, which had not been determined at the time the Original Form 8-K was filed. This Amendment No. 1 makes no other amendments to the Original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Service Agreement with Mr. Taylor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his appointment, on October 1, 2026, Flutter Services UK Limited and Flutter Entertainment UK Limited (each, subsidiaries of the Company) entered into a new Service Agreement, Offer Letter and a director appointment letter with Mr. Taylor, pursuant to which he will be entitled to receive a base salary of $1,140,000 per year and a $110,000 directorship fee (together, the “Total Salary”). For 2027, Mr. Taylor will be eligible to receive a discretionary annual incentive with a target opportunity of 200% of Total Salary (and a maximum opportunity of 400% of Total Salary), a grant of restricted stock units (“RSUs”) with a grant date fair value of 290% of Total Salary scheduled to vest in three equal installments on September 1, 2028, September 1, 2029 and September 1, 2030 subject to continued employment, and performance stock units (“PSUs”) with a grant date fair value of 870% of Total Salary scheduled to vest on September 1, 2030 subject to continued employment and achievement of performance targets which will be set by the Compensation &amp; Human Resources (“C&amp;HR”) Committee of the Board and communicated in 2027 (with potential maximum vesting at 1,740% of Total Salary in the case of the PSUs). Mr. Taylor will also receive a one-time grant of a promotional equity award consisting of RSUs to the value of $2,083,131 and PSUs to the value of $6,249,394. These promotional equity RSUs are scheduled to vest in three equal instalments on September 1, 2027, September 1, 2028, and September 1, 2029, subject to continued employment and promotional equity PSUs are scheduled to vest on September 1, 2029, subject to continued employment and achievement of the performance targets set for the 2026 PSU cycle. Mr. Taylor will be subject to a shareholding requirement equal to 600% of Total Salary. Mr. Taylor will receive Company funded pension contributions (or the equivalent value in cash) of 5% of Total Salary. </w:t>
      </w:r>
    </w:p>
    <w:p>
      <w:pPr>
        <w:pStyle w:val="TextBody"/>
        <w:bidi w:val="0"/>
        <w:spacing w:before="240" w:after="0"/>
        <w:jc w:val="left"/>
        <w:rPr>
          <w:rFonts w:ascii="Times New Roman" w:hAnsi="Times New Roman"/>
          <w:sz w:val="20"/>
        </w:rPr>
      </w:pPr>
      <w:r>
        <w:rPr>
          <w:rFonts w:ascii="Times New Roman" w:hAnsi="Times New Roman"/>
          <w:sz w:val="20"/>
        </w:rPr>
        <w:t xml:space="preserve">Mr. Taylor will bear the cost of his own worldwide taxes, and the Company will not provide tax equalization payments. Flutter will arrange and pay for reasonable personal tax return support and reasonable advice in respect of Mr. Taylor’s US, UK and Irish tax returns in connection with his employment.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Service Agreement, Mr. Taylor may terminate his employment by providing the Company with 12 months’ written notice, and the Company may terminate Mr. Taylor’s employment by providing him with 3 months’ written notice (or payment in lieu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Service Agreement, Offer Letter and director appointment letter is a summary and is qualified in its entirety by reference to the corresponding agreement, which will be filed as an exhibit to Flutter’s Quarterly Report on Form 10-Q for the quarter ending September 30,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37" w:type="dxa"/>
        <w:jc w:val="left"/>
        <w:tblInd w:w="0" w:type="dxa"/>
        <w:tblLayout w:type="fixed"/>
        <w:tblCellMar>
          <w:top w:w="0" w:type="dxa"/>
          <w:left w:w="0" w:type="dxa"/>
          <w:bottom w:w="0" w:type="dxa"/>
          <w:right w:w="0" w:type="dxa"/>
        </w:tblCellMar>
      </w:tblPr>
      <w:tblGrid>
        <w:gridCol w:w="2150"/>
        <w:gridCol w:w="60"/>
        <w:gridCol w:w="23"/>
        <w:gridCol w:w="60"/>
        <w:gridCol w:w="656"/>
        <w:gridCol w:w="60"/>
        <w:gridCol w:w="1928"/>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b/>
              </w:rPr>
            </w:pPr>
            <w:r>
              <w:rPr>
                <w:b/>
              </w:rPr>
              <w:t>Flutter Entertainment plc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pPr>
            <w:r>
              <w:rPr/>
              <w:t>(Registrant)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Edward Traynor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Company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941</Words>
  <Characters>5015</Characters>
  <CharactersWithSpaces>5949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