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47663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766310"/>
                    </a:xfrm>
                    <a:prstGeom prst="rect">
                      <a:avLst/>
                    </a:prstGeom>
                    <a:noFill/>
                  </pic:spPr>
                </pic:pic>
              </a:graphicData>
            </a:graphic>
          </wp:anchor>
        </w:drawing>
      </w:r>
    </w:p>
    <w:p>
      <w:pPr>
        <w:spacing w:after="0" w:line="1192"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340" w:type="dxa"/>
            <w:vAlign w:val="bottom"/>
            <w:gridSpan w:val="2"/>
            <w:vMerge w:val="restart"/>
          </w:tcPr>
          <w:p>
            <w:pPr>
              <w:spacing w:after="0"/>
              <w:rPr>
                <w:rFonts w:ascii="Times New Roman" w:cs="Times New Roman" w:eastAsia="Times New Roman" w:hAnsi="Times New Roman"/>
                <w:sz w:val="21"/>
                <w:szCs w:val="21"/>
                <w:color w:val="0000EE"/>
                <w:w w:val="96"/>
              </w:rPr>
            </w:pPr>
            <w:hyperlink r:id="rId13">
              <w:r>
                <w:rPr>
                  <w:rFonts w:ascii="Times New Roman" w:cs="Times New Roman" w:eastAsia="Times New Roman" w:hAnsi="Times New Roman"/>
                  <w:sz w:val="21"/>
                  <w:szCs w:val="21"/>
                  <w:color w:val="0000EE"/>
                  <w:w w:val="96"/>
                </w:rPr>
                <w:t>DART KENNETH BRYAN</w:t>
              </w:r>
            </w:hyperlink>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Flutter Entertainment plc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FLUT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340" w:type="dxa"/>
            <w:vAlign w:val="bottom"/>
            <w:tcBorders>
              <w:bottom w:val="single" w:sz="8" w:color="0000EE"/>
            </w:tcBorders>
            <w:gridSpan w:val="2"/>
            <w:vMerge w:val="continue"/>
          </w:tcPr>
          <w:p>
            <w:pPr>
              <w:spacing w:after="0"/>
              <w:rPr>
                <w:sz w:val="5"/>
                <w:szCs w:val="5"/>
                <w:color w:val="auto"/>
              </w:rPr>
            </w:pPr>
          </w:p>
        </w:tc>
        <w:tc>
          <w:tcPr>
            <w:tcW w:w="13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80" w:type="dxa"/>
            <w:vAlign w:val="bottom"/>
            <w:tcBorders>
              <w:top w:val="single" w:sz="8" w:color="0000EE"/>
            </w:tcBorders>
          </w:tcPr>
          <w:p>
            <w:pPr>
              <w:spacing w:after="0"/>
              <w:rPr>
                <w:sz w:val="5"/>
                <w:szCs w:val="5"/>
                <w:color w:val="auto"/>
              </w:rPr>
            </w:pPr>
          </w:p>
        </w:tc>
        <w:tc>
          <w:tcPr>
            <w:tcW w:w="168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3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80" w:type="dxa"/>
            <w:vAlign w:val="bottom"/>
          </w:tcPr>
          <w:p>
            <w:pPr>
              <w:spacing w:after="0"/>
              <w:rPr>
                <w:sz w:val="6"/>
                <w:szCs w:val="6"/>
                <w:color w:val="auto"/>
              </w:rPr>
            </w:pPr>
          </w:p>
        </w:tc>
        <w:tc>
          <w:tcPr>
            <w:tcW w:w="168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3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1140" w:type="dxa"/>
            <w:vAlign w:val="bottom"/>
            <w:tcBorders>
              <w:top w:val="single" w:sz="8" w:color="EEEEEE"/>
            </w:tcBorders>
          </w:tcPr>
          <w:p>
            <w:pPr>
              <w:spacing w:after="0"/>
              <w:rPr>
                <w:sz w:val="2"/>
                <w:szCs w:val="2"/>
                <w:color w:val="auto"/>
              </w:rPr>
            </w:pPr>
          </w:p>
        </w:tc>
        <w:tc>
          <w:tcPr>
            <w:tcW w:w="13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(First)</w:t>
            </w:r>
          </w:p>
        </w:tc>
        <w:tc>
          <w:tcPr>
            <w:tcW w:w="1300" w:type="dxa"/>
            <w:vAlign w:val="bottom"/>
            <w:vMerge w:val="restart"/>
          </w:tcPr>
          <w:p>
            <w:pPr>
              <w:ind w:left="1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30"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22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06/18/2026</w:t>
            </w:r>
          </w:p>
        </w:tc>
        <w:tc>
          <w:tcPr>
            <w:tcW w:w="168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7"/>
              </w:rPr>
              <w:t>P. O. BOX 31300</w:t>
            </w:r>
          </w:p>
        </w:tc>
        <w:tc>
          <w:tcPr>
            <w:tcW w:w="114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2240" w:type="dxa"/>
            <w:vAlign w:val="bottom"/>
            <w:gridSpan w:val="3"/>
            <w:vMerge w:val="continue"/>
          </w:tcPr>
          <w:p>
            <w:pPr>
              <w:spacing w:after="0"/>
              <w:rPr>
                <w:sz w:val="10"/>
                <w:szCs w:val="10"/>
                <w:color w:val="auto"/>
              </w:rPr>
            </w:pPr>
          </w:p>
        </w:tc>
        <w:tc>
          <w:tcPr>
            <w:tcW w:w="168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080" w:type="dxa"/>
            <w:vAlign w:val="bottom"/>
            <w:tcBorders>
              <w:bottom w:val="single" w:sz="8" w:color="2C2C2C"/>
            </w:tcBorders>
          </w:tcPr>
          <w:p>
            <w:pPr>
              <w:spacing w:after="0"/>
              <w:rPr>
                <w:sz w:val="11"/>
                <w:szCs w:val="11"/>
                <w:color w:val="auto"/>
              </w:rPr>
            </w:pPr>
          </w:p>
        </w:tc>
        <w:tc>
          <w:tcPr>
            <w:tcW w:w="1680" w:type="dxa"/>
            <w:vAlign w:val="bottom"/>
            <w:tcBorders>
              <w:bottom w:val="single" w:sz="8" w:color="2C2C2C"/>
            </w:tcBorders>
          </w:tcPr>
          <w:p>
            <w:pPr>
              <w:spacing w:after="0"/>
              <w:rPr>
                <w:sz w:val="11"/>
                <w:szCs w:val="11"/>
                <w:color w:val="auto"/>
              </w:rPr>
            </w:pPr>
          </w:p>
        </w:tc>
        <w:tc>
          <w:tcPr>
            <w:tcW w:w="3280" w:type="dxa"/>
            <w:vAlign w:val="bottom"/>
            <w:tcBorders>
              <w:bottom w:val="single" w:sz="8" w:color="2C2C2C"/>
            </w:tcBorders>
            <w:gridSpan w:val="2"/>
          </w:tcPr>
          <w:p>
            <w:pPr>
              <w:spacing w:after="0"/>
              <w:rPr>
                <w:sz w:val="11"/>
                <w:szCs w:val="11"/>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1200" w:type="dxa"/>
            <w:vAlign w:val="bottom"/>
            <w:tcBorders>
              <w:bottom w:val="single" w:sz="8" w:color="9A9A9A"/>
            </w:tcBorders>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130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17"/>
        </w:trPr>
        <w:tc>
          <w:tcPr>
            <w:tcW w:w="1240" w:type="dxa"/>
            <w:vAlign w:val="bottom"/>
            <w:gridSpan w:val="3"/>
            <w:vMerge w:val="restart"/>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760" w:type="dxa"/>
            <w:vAlign w:val="bottom"/>
            <w:gridSpan w:val="2"/>
            <w:vMerge w:val="continue"/>
          </w:tcPr>
          <w:p>
            <w:pPr>
              <w:spacing w:after="0"/>
              <w:rPr>
                <w:sz w:val="10"/>
                <w:szCs w:val="10"/>
                <w:color w:val="auto"/>
              </w:rPr>
            </w:pPr>
          </w:p>
        </w:tc>
        <w:tc>
          <w:tcPr>
            <w:tcW w:w="32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1240" w:type="dxa"/>
            <w:vAlign w:val="bottom"/>
            <w:gridSpan w:val="3"/>
            <w:vMerge w:val="continue"/>
          </w:tcPr>
          <w:p>
            <w:pPr>
              <w:spacing w:after="0"/>
              <w:rPr>
                <w:sz w:val="14"/>
                <w:szCs w:val="14"/>
                <w:color w:val="auto"/>
              </w:rPr>
            </w:pPr>
          </w:p>
        </w:tc>
        <w:tc>
          <w:tcPr>
            <w:tcW w:w="1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840" w:type="dxa"/>
            <w:vAlign w:val="bottom"/>
          </w:tcPr>
          <w:p>
            <w:pPr>
              <w:ind w:left="60"/>
              <w:spacing w:after="0"/>
              <w:rPr>
                <w:sz w:val="20"/>
                <w:szCs w:val="20"/>
                <w:color w:val="auto"/>
              </w:rPr>
            </w:pPr>
            <w:r>
              <w:rPr>
                <w:rFonts w:ascii="Arial" w:cs="Arial" w:eastAsia="Arial" w:hAnsi="Arial"/>
                <w:sz w:val="13"/>
                <w:szCs w:val="13"/>
                <w:color w:val="auto"/>
              </w:rPr>
              <w:t>Line)</w:t>
            </w: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080"/>
          </w:cols>
          <w:pgMar w:left="460" w:top="216" w:right="359" w:bottom="1440" w:gutter="0" w:footer="0" w:header="0"/>
          <w:type w:val="continuous"/>
        </w:sectPr>
      </w:pPr>
    </w:p>
    <w:p>
      <w:pPr>
        <w:ind w:left="120"/>
        <w:spacing w:after="0" w:line="182" w:lineRule="auto"/>
        <w:tabs>
          <w:tab w:leader="none" w:pos="1320" w:val="left"/>
        </w:tabs>
        <w:rPr>
          <w:sz w:val="20"/>
          <w:szCs w:val="20"/>
          <w:color w:val="auto"/>
        </w:rPr>
      </w:pPr>
      <w:r>
        <w:rPr>
          <w:rFonts w:ascii="Times New Roman" w:cs="Times New Roman" w:eastAsia="Times New Roman" w:hAnsi="Times New Roman"/>
          <w:sz w:val="14"/>
          <w:szCs w:val="14"/>
          <w:color w:val="0000FF"/>
        </w:rPr>
        <w:t>GRAND</w:t>
      </w:r>
      <w:r>
        <w:rPr>
          <w:sz w:val="20"/>
          <w:szCs w:val="20"/>
          <w:color w:val="auto"/>
        </w:rPr>
        <w:tab/>
      </w:r>
      <w:r>
        <w:rPr>
          <w:rFonts w:ascii="Times New Roman" w:cs="Times New Roman" w:eastAsia="Times New Roman" w:hAnsi="Times New Roman"/>
          <w:sz w:val="24"/>
          <w:szCs w:val="24"/>
          <w:color w:val="0000FF"/>
          <w:vertAlign w:val="subscript"/>
        </w:rPr>
        <w:t>E9</w:t>
      </w:r>
    </w:p>
    <w:p>
      <w:pPr>
        <w:spacing w:after="0" w:line="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CAYMAN</w:t>
      </w:r>
    </w:p>
    <w:p>
      <w:pPr>
        <w:spacing w:after="0" w:line="306"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1"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7" w:lineRule="exact"/>
        <w:rPr>
          <w:sz w:val="20"/>
          <w:szCs w:val="20"/>
          <w:color w:val="auto"/>
        </w:rPr>
      </w:pPr>
    </w:p>
    <w:p>
      <w:pPr>
        <w:sectPr>
          <w:pgSz w:w="11900" w:h="16838" w:orient="portrait"/>
          <w:cols w:equalWidth="0" w:num="2">
            <w:col w:w="7560" w:space="720"/>
            <w:col w:w="280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4"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Total</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9,426</w:t>
            </w:r>
          </w:p>
        </w:tc>
        <w:tc>
          <w:tcPr>
            <w:tcW w:w="680" w:type="dxa"/>
            <w:vAlign w:val="bottom"/>
          </w:tcPr>
          <w:p>
            <w:pPr>
              <w:spacing w:after="0"/>
              <w:rPr>
                <w:sz w:val="15"/>
                <w:szCs w:val="15"/>
                <w:color w:val="auto"/>
              </w:rPr>
            </w:pPr>
          </w:p>
        </w:tc>
        <w:tc>
          <w:tcPr>
            <w:tcW w:w="9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17,130,927</w:t>
            </w:r>
            <w:r>
              <w:rPr>
                <w:rFonts w:ascii="Times New Roman" w:cs="Times New Roman" w:eastAsia="Times New Roman" w:hAnsi="Times New Roman"/>
                <w:sz w:val="21"/>
                <w:szCs w:val="21"/>
                <w:color w:val="008000"/>
                <w:vertAlign w:val="superscript"/>
              </w:rPr>
              <w:t>(2)</w:t>
            </w:r>
          </w:p>
        </w:tc>
        <w:tc>
          <w:tcPr>
            <w:tcW w:w="740" w:type="dxa"/>
            <w:vAlign w:val="bottom"/>
          </w:tcPr>
          <w:p>
            <w:pPr>
              <w:spacing w:after="0"/>
              <w:rPr>
                <w:sz w:val="15"/>
                <w:szCs w:val="15"/>
                <w:color w:val="auto"/>
              </w:rPr>
            </w:pPr>
          </w:p>
        </w:tc>
        <w:tc>
          <w:tcPr>
            <w:tcW w:w="5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See</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Return</w:t>
            </w:r>
          </w:p>
        </w:tc>
        <w:tc>
          <w:tcPr>
            <w:tcW w:w="780" w:type="dxa"/>
            <w:vAlign w:val="bottom"/>
            <w:vMerge w:val="continue"/>
          </w:tcPr>
          <w:p>
            <w:pPr>
              <w:spacing w:after="0"/>
              <w:rPr>
                <w:sz w:val="12"/>
                <w:szCs w:val="12"/>
                <w:color w:val="auto"/>
              </w:rPr>
            </w:pPr>
          </w:p>
        </w:tc>
        <w:tc>
          <w:tcPr>
            <w:tcW w:w="1080" w:type="dxa"/>
            <w:vAlign w:val="bottom"/>
          </w:tcPr>
          <w:p>
            <w:pPr>
              <w:jc w:val="right"/>
              <w:ind w:right="180"/>
              <w:spacing w:after="0" w:line="143" w:lineRule="exact"/>
              <w:rPr>
                <w:sz w:val="20"/>
                <w:szCs w:val="20"/>
                <w:color w:val="auto"/>
              </w:rPr>
            </w:pPr>
            <w:r>
              <w:rPr>
                <w:rFonts w:ascii="Times New Roman" w:cs="Times New Roman" w:eastAsia="Times New Roman" w:hAnsi="Times New Roman"/>
                <w:sz w:val="13"/>
                <w:szCs w:val="13"/>
                <w:color w:val="0000FF"/>
              </w:rPr>
              <w:t>06/18/2026</w:t>
            </w:r>
          </w:p>
        </w:tc>
        <w:tc>
          <w:tcPr>
            <w:tcW w:w="1100" w:type="dxa"/>
            <w:vAlign w:val="bottom"/>
          </w:tcPr>
          <w:p>
            <w:pPr>
              <w:spacing w:after="0"/>
              <w:rPr>
                <w:sz w:val="12"/>
                <w:szCs w:val="12"/>
                <w:color w:val="auto"/>
              </w:rPr>
            </w:pPr>
          </w:p>
        </w:tc>
        <w:tc>
          <w:tcPr>
            <w:tcW w:w="800" w:type="dxa"/>
            <w:vAlign w:val="bottom"/>
          </w:tcPr>
          <w:p>
            <w:pPr>
              <w:ind w:left="120"/>
              <w:spacing w:after="0" w:line="143" w:lineRule="exact"/>
              <w:rPr>
                <w:sz w:val="20"/>
                <w:szCs w:val="20"/>
                <w:color w:val="auto"/>
              </w:rPr>
            </w:pPr>
            <w:r>
              <w:rPr>
                <w:rFonts w:ascii="Times New Roman" w:cs="Times New Roman" w:eastAsia="Times New Roman" w:hAnsi="Times New Roman"/>
                <w:sz w:val="13"/>
                <w:szCs w:val="13"/>
                <w:color w:val="0000FF"/>
              </w:rPr>
              <w:t>P/K</w:t>
            </w:r>
          </w:p>
        </w:tc>
        <w:tc>
          <w:tcPr>
            <w:tcW w:w="46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9,426</w:t>
            </w:r>
          </w:p>
        </w:tc>
        <w:tc>
          <w:tcPr>
            <w:tcW w:w="280" w:type="dxa"/>
            <w:vAlign w:val="bottom"/>
          </w:tcPr>
          <w:p>
            <w:pPr>
              <w:spacing w:after="0"/>
              <w:rPr>
                <w:sz w:val="12"/>
                <w:szCs w:val="12"/>
                <w:color w:val="auto"/>
              </w:rPr>
            </w:pPr>
          </w:p>
        </w:tc>
        <w:tc>
          <w:tcPr>
            <w:tcW w:w="780" w:type="dxa"/>
            <w:vAlign w:val="bottom"/>
          </w:tcPr>
          <w:p>
            <w:pPr>
              <w:ind w:left="100"/>
              <w:spacing w:after="0" w:line="143" w:lineRule="exact"/>
              <w:rPr>
                <w:sz w:val="20"/>
                <w:szCs w:val="20"/>
                <w:color w:val="auto"/>
              </w:rPr>
            </w:pPr>
            <w:r>
              <w:rPr>
                <w:rFonts w:ascii="Times New Roman" w:cs="Times New Roman" w:eastAsia="Times New Roman" w:hAnsi="Times New Roman"/>
                <w:sz w:val="13"/>
                <w:szCs w:val="13"/>
                <w:color w:val="0000FF"/>
              </w:rPr>
              <w:t>03/02/2028</w:t>
            </w:r>
          </w:p>
        </w:tc>
        <w:tc>
          <w:tcPr>
            <w:tcW w:w="74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03/02/2028</w:t>
            </w:r>
          </w:p>
        </w:tc>
        <w:tc>
          <w:tcPr>
            <w:tcW w:w="68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680" w:type="dxa"/>
            <w:vAlign w:val="bottom"/>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99.9971</w:t>
            </w:r>
          </w:p>
        </w:tc>
        <w:tc>
          <w:tcPr>
            <w:tcW w:w="940" w:type="dxa"/>
            <w:vAlign w:val="bottom"/>
            <w:vMerge w:val="continue"/>
          </w:tcPr>
          <w:p>
            <w:pPr>
              <w:spacing w:after="0"/>
              <w:rPr>
                <w:sz w:val="12"/>
                <w:szCs w:val="12"/>
                <w:color w:val="auto"/>
              </w:rPr>
            </w:pPr>
          </w:p>
        </w:tc>
        <w:tc>
          <w:tcPr>
            <w:tcW w:w="740" w:type="dxa"/>
            <w:vAlign w:val="bottom"/>
          </w:tcPr>
          <w:p>
            <w:pPr>
              <w:ind w:left="360"/>
              <w:spacing w:after="0" w:line="143" w:lineRule="exact"/>
              <w:rPr>
                <w:sz w:val="20"/>
                <w:szCs w:val="20"/>
                <w:color w:val="auto"/>
              </w:rPr>
            </w:pPr>
            <w:r>
              <w:rPr>
                <w:rFonts w:ascii="Times New Roman" w:cs="Times New Roman" w:eastAsia="Times New Roman" w:hAnsi="Times New Roman"/>
                <w:sz w:val="13"/>
                <w:szCs w:val="13"/>
                <w:color w:val="0000FF"/>
              </w:rPr>
              <w:t>I</w:t>
            </w:r>
          </w:p>
        </w:tc>
        <w:tc>
          <w:tcPr>
            <w:tcW w:w="500" w:type="dxa"/>
            <w:vAlign w:val="bottom"/>
            <w:vMerge w:val="continue"/>
          </w:tcPr>
          <w:p>
            <w:pPr>
              <w:spacing w:after="0"/>
              <w:rPr>
                <w:sz w:val="12"/>
                <w:szCs w:val="12"/>
                <w:color w:val="auto"/>
              </w:rPr>
            </w:pPr>
          </w:p>
        </w:tc>
        <w:tc>
          <w:tcPr>
            <w:tcW w:w="2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008000"/>
                <w:w w:val="93"/>
              </w:rPr>
              <w:t>(2)</w:t>
            </w:r>
          </w:p>
        </w:tc>
        <w:tc>
          <w:tcPr>
            <w:tcW w:w="0" w:type="dxa"/>
            <w:vAlign w:val="bottom"/>
          </w:tcPr>
          <w:p>
            <w:pPr>
              <w:spacing w:after="0"/>
              <w:rPr>
                <w:sz w:val="1"/>
                <w:szCs w:val="1"/>
                <w:color w:val="auto"/>
              </w:rPr>
            </w:pPr>
          </w:p>
        </w:tc>
      </w:tr>
      <w:tr>
        <w:trPr>
          <w:trHeight w:val="13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Swap</w:t>
            </w: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160"/>
              <w:spacing w:after="0" w:line="130"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ind w:left="80"/>
              <w:spacing w:after="0" w:line="130" w:lineRule="exact"/>
              <w:rPr>
                <w:sz w:val="20"/>
                <w:szCs w:val="20"/>
                <w:color w:val="auto"/>
              </w:rPr>
            </w:pPr>
            <w:r>
              <w:rPr>
                <w:rFonts w:ascii="Times New Roman" w:cs="Times New Roman" w:eastAsia="Times New Roman" w:hAnsi="Times New Roman"/>
                <w:sz w:val="13"/>
                <w:szCs w:val="13"/>
                <w:color w:val="0000FF"/>
                <w:w w:val="92"/>
              </w:rPr>
              <w:t>footnote</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2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40" w:right="200" w:firstLine="3"/>
        <w:spacing w:after="0" w:line="23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reference price for the Swap is $99.9971 per share. The Swap is scheduled to terminate on March 2, 2028, at which time the Swap will be cash-settled. Under the terms of the Swap, at maturity: (i)the Reporting Person will be obligated to pay to the counterparty any decrease in the market price of the referenced shares below the reference price, and (ii) the counterparty will be obligated to pay the Reporting Person any increase in the market price of the referenced shares above the reference price. The Swap requires the Reporting Person to pay monthly interest to the counterparty on the financing leg of the Swap at a rate based on SOFR. Additionally, the Reporting Person is entitled to receive payments from the counterparty equal to any dividends paid on the referenced shares during the term of the Swap.</w:t>
      </w:r>
    </w:p>
    <w:p>
      <w:pPr>
        <w:spacing w:after="0" w:line="27" w:lineRule="exact"/>
        <w:rPr>
          <w:rFonts w:ascii="Times New Roman" w:cs="Times New Roman" w:eastAsia="Times New Roman" w:hAnsi="Times New Roman"/>
          <w:sz w:val="13"/>
          <w:szCs w:val="13"/>
          <w:color w:val="008000"/>
        </w:rPr>
      </w:pPr>
    </w:p>
    <w:p>
      <w:pPr>
        <w:jc w:val="both"/>
        <w:ind w:left="40" w:right="240" w:firstLine="3"/>
        <w:spacing w:after="0" w:line="243"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LBS Limited is the party to the reported transaction and direct "holder" of the "notional" shares. Lake Michigan Limited and LBS Limited were parties to previously reported swap transactions that provide an aggregate position in 17,121,501 "notional" shares. As owner of LBS Limited and Lake Michigan Limited, Mr. Dart may be deemed to beneficially own the reported securities but disclaims such beneficial ownership except to the extent of his pecuniary interest therein.</w:t>
      </w:r>
    </w:p>
    <w:p>
      <w:pPr>
        <w:spacing w:after="0" w:line="3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/s/Kenneth B Dart</w:t>
            </w:r>
          </w:p>
        </w:tc>
        <w:tc>
          <w:tcPr>
            <w:tcW w:w="9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w w:val="95"/>
              </w:rPr>
              <w:t>06/23/2026</w:t>
            </w:r>
          </w:p>
        </w:tc>
      </w:tr>
      <w:tr>
        <w:trPr>
          <w:trHeight w:val="20"/>
        </w:trPr>
        <w:tc>
          <w:tcPr>
            <w:tcW w:w="122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30"/>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331271" TargetMode="External"/><Relationship Id="rId14" Type="http://schemas.openxmlformats.org/officeDocument/2006/relationships/hyperlink" Target="http://www.sec.gov/cgi-bin/browse-edgar?action=getcompany&amp;CIK=0001635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2026-06-23T16:04:40Z</dcterms:created>
  <dcterms:modified xsi:type="dcterms:W3CDTF">2026-06-23T16:04:40Z</dcterms:modified>
</cp:coreProperties>
</file>