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DART KENNETH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31300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Flutter Entertainment plc</w:t>
              </w:r>
            </w:hyperlink>
            <w:r>
              <w:rPr/>
              <w:t xml:space="preserve"> [ </w:t>
            </w:r>
            <w:r>
              <w:rPr>
                <w:rFonts w:ascii="Times;serif" w:hAnsi="Times;serif"/>
                <w:color w:val="0000FF"/>
                <w:sz w:val="24"/>
                <w:shd w:fill="FFFFFF" w:val="clear"/>
              </w:rPr>
              <w:t>FLUT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2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16"/>
        <w:gridCol w:w="1131"/>
        <w:gridCol w:w="831"/>
        <w:gridCol w:w="906"/>
      </w:tblGrid>
      <w:tr>
        <w:trPr>
          <w:tblHeader w:val="true"/>
        </w:trPr>
        <w:tc>
          <w:tcPr>
            <w:tcW w:w="125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Total Return Swap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885,900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885,900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93.5779</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19,910,158</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Total Return Swap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817,815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817,815</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91.4129</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20,727,973</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reference price for the Swap is $93.5779 per share. The Swap is scheduled to terminate on March 2, 2028, at which time the Swap will be cash-settled. Under the terms of the Swap, at maturity: (i)the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SOFR. Additionally, the Reporting Person is entitled to receive payments from the counterparty equal to any dividends paid on the referenced shares during the term of the Swap.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LBS Limited and Lake Michigan Limited are parties to the reported transactions and direct "holder" of the "notional" shares. These were parties to previously reported swap transactions that provide an aggregate position in 19,024,258 "notional" shares. As owner of LBS Limited and Lake Michigan Limited, Mr. Dart may be deemed to beneficially own the reported securities but disclaims such beneficial ownership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reference price for the Swap is $91.4129 per share. The Swap is scheduled to terminate on March 2, 2028, at which time the Swap will be cash-settled. Under the terms of the Swap, at maturity:(i) 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OBFR. Additionally, the Reporting Person is entitled to receive payments from the counterparty equal to any dividends paid on the referenced shares during the term of the Swap.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/s/Kenneth B Dart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1271" TargetMode="External"/><Relationship Id="rId5" Type="http://schemas.openxmlformats.org/officeDocument/2006/relationships/hyperlink" Target="http://www.sec.gov/cgi-bin/browse-edgar?action=getcompany&amp;CIK=0001635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939</Words>
  <Characters>4995</Characters>
  <CharactersWithSpaces>5849</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