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124460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115570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Flutter Entertainment plc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2"/>
              </w:rPr>
              <w:t>Ireland</w:t>
            </w:r>
          </w:p>
        </w:tc>
        <w:tc>
          <w:tcPr>
            <w:tcW w:w="234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001-37403</w:t>
            </w:r>
          </w:p>
        </w:tc>
        <w:tc>
          <w:tcPr>
            <w:tcW w:w="1880" w:type="dxa"/>
            <w:vAlign w:val="bottom"/>
          </w:tcPr>
          <w:p>
            <w:pPr>
              <w:jc w:val="center"/>
              <w:ind w:left="805"/>
              <w:spacing w:after="0"/>
              <w:rPr>
                <w:sz w:val="20"/>
                <w:szCs w:val="20"/>
                <w:color w:val="auto"/>
              </w:rPr>
            </w:pPr>
            <w:r>
              <w:rPr>
                <w:rFonts w:ascii="Times New Roman" w:cs="Times New Roman" w:eastAsia="Times New Roman" w:hAnsi="Times New Roman"/>
                <w:sz w:val="13"/>
                <w:szCs w:val="13"/>
                <w:b w:val="1"/>
                <w:bCs w:val="1"/>
                <w:color w:val="auto"/>
                <w:w w:val="98"/>
              </w:rPr>
              <w:t>98-1782229</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4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880" w:type="dxa"/>
            <w:vAlign w:val="bottom"/>
          </w:tcPr>
          <w:p>
            <w:pPr>
              <w:jc w:val="center"/>
              <w:ind w:left="80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4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880" w:type="dxa"/>
            <w:vAlign w:val="bottom"/>
          </w:tcPr>
          <w:p>
            <w:pPr>
              <w:jc w:val="center"/>
              <w:ind w:left="825"/>
              <w:spacing w:after="0"/>
              <w:rPr>
                <w:sz w:val="20"/>
                <w:szCs w:val="20"/>
                <w:color w:val="auto"/>
              </w:rPr>
            </w:pPr>
            <w:r>
              <w:rPr>
                <w:rFonts w:ascii="Times New Roman" w:cs="Times New Roman" w:eastAsia="Times New Roman" w:hAnsi="Times New Roman"/>
                <w:sz w:val="10"/>
                <w:szCs w:val="10"/>
                <w:b w:val="1"/>
                <w:bCs w:val="1"/>
                <w:color w:val="auto"/>
              </w:rPr>
              <w:t>Identification Number)</w:t>
            </w:r>
          </w:p>
        </w:tc>
      </w:tr>
    </w:tbl>
    <w:p>
      <w:pPr>
        <w:spacing w:after="0" w:line="154"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5"/>
              </w:rPr>
              <w:t>One Madison Avenue</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5"/>
              </w:rPr>
              <w:t>New York, New York</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10010</w:t>
            </w:r>
          </w:p>
        </w:tc>
      </w:tr>
      <w:tr>
        <w:trPr>
          <w:trHeight w:val="13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(646) 930-0950</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98425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8"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Ordinary Shares, nominal value of €0.09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FLUT</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ind w:left="640" w:right="899"/>
        <w:spacing w:after="0" w:line="267" w:lineRule="auto"/>
        <w:rPr>
          <w:sz w:val="20"/>
          <w:szCs w:val="20"/>
          <w:color w:val="auto"/>
        </w:rPr>
      </w:pPr>
      <w:r>
        <w:rPr>
          <w:rFonts w:ascii="Times New Roman" w:cs="Times New Roman" w:eastAsia="Times New Roman" w:hAnsi="Times New Roman"/>
          <w:sz w:val="13"/>
          <w:szCs w:val="13"/>
          <w:color w:val="auto"/>
        </w:rPr>
        <w:t>On November 4, 2026, Flutter Entertainment plc (the “Company”) issued a press release announcing the Company’s financial results for the quarter ended September 30, 2026, and the availability of the Company’s third quarter financial supplement on the Company’s website.</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press release is furnished as Exhibit 99.1 to this Form 8-K and is incorporated herein by reference.</w:t>
      </w:r>
    </w:p>
    <w:p>
      <w:pPr>
        <w:spacing w:after="0" w:line="256"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jc w:val="both"/>
        <w:ind w:left="640" w:right="759"/>
        <w:spacing w:after="0" w:line="255" w:lineRule="auto"/>
        <w:rPr>
          <w:sz w:val="20"/>
          <w:szCs w:val="20"/>
          <w:color w:val="auto"/>
        </w:rPr>
      </w:pPr>
      <w:r>
        <w:rPr>
          <w:rFonts w:ascii="Times New Roman" w:cs="Times New Roman" w:eastAsia="Times New Roman" w:hAnsi="Times New Roman"/>
          <w:sz w:val="13"/>
          <w:szCs w:val="13"/>
          <w:color w:val="auto"/>
        </w:rPr>
        <w:t>On November 4, 2026, the Company made available on its website an earnings presentation (“Q3 2026 Earnings Presentation”) which contains certain supplemental information and product updates for the quarter ended September 30, 2026. The furnished Q3 2026 Earnings Presentation should be read in conjunction with the Company’s financial results for the quarter ended September 30, 2026.</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 copy of the presentation is furnished as Exhibit 99.2 to this Form 8-K and is incorporated herein by reference.</w:t>
      </w:r>
    </w:p>
    <w:p>
      <w:pPr>
        <w:spacing w:after="0" w:line="256"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398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46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(d)   Exhibits</w:t>
            </w:r>
          </w:p>
        </w:tc>
        <w:tc>
          <w:tcPr>
            <w:tcW w:w="0" w:type="dxa"/>
            <w:vAlign w:val="bottom"/>
          </w:tcPr>
          <w:p>
            <w:pPr>
              <w:spacing w:after="0"/>
              <w:rPr>
                <w:sz w:val="1"/>
                <w:szCs w:val="1"/>
                <w:color w:val="auto"/>
              </w:rPr>
            </w:pPr>
          </w:p>
        </w:tc>
      </w:tr>
      <w:tr>
        <w:trPr>
          <w:trHeight w:val="258"/>
        </w:trPr>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6"/>
              </w:rPr>
              <w:t>Description</w:t>
            </w:r>
          </w:p>
        </w:tc>
        <w:tc>
          <w:tcPr>
            <w:tcW w:w="3480" w:type="dxa"/>
            <w:vAlign w:val="bottom"/>
            <w:gridSpan w:val="3"/>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3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6"/>
                <w:szCs w:val="16"/>
                <w:color w:val="auto"/>
              </w:rPr>
            </w:pPr>
          </w:p>
        </w:tc>
        <w:tc>
          <w:tcPr>
            <w:tcW w:w="3980" w:type="dxa"/>
            <w:vAlign w:val="bottom"/>
            <w:gridSpan w:val="4"/>
          </w:tcPr>
          <w:p>
            <w:pPr>
              <w:spacing w:after="0"/>
              <w:rPr>
                <w:sz w:val="20"/>
                <w:szCs w:val="20"/>
                <w:color w:val="auto"/>
              </w:rPr>
            </w:pPr>
            <w:r>
              <w:rPr>
                <w:rFonts w:ascii="Times New Roman" w:cs="Times New Roman" w:eastAsia="Times New Roman" w:hAnsi="Times New Roman"/>
                <w:sz w:val="13"/>
                <w:szCs w:val="13"/>
                <w:color w:val="0000EE"/>
              </w:rPr>
              <w:t>Press Release dated November 4, 2026</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00" w:type="dxa"/>
            <w:vAlign w:val="bottom"/>
          </w:tcPr>
          <w:p>
            <w:pPr>
              <w:spacing w:after="0"/>
              <w:rPr>
                <w:sz w:val="18"/>
                <w:szCs w:val="18"/>
                <w:color w:val="auto"/>
              </w:rPr>
            </w:pPr>
          </w:p>
        </w:tc>
        <w:tc>
          <w:tcPr>
            <w:tcW w:w="19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Q3 Earnings Release Presentation</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398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6"/>
              </w:rPr>
              <w:t>The cover page of this Current Report on Form 8-K, formatted in Inline XBRL</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Flutter Entertainment plc</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(Registrant)</w:t>
      </w:r>
    </w:p>
    <w:p>
      <w:pPr>
        <w:spacing w:after="0" w:line="141" w:lineRule="exact"/>
        <w:rPr>
          <w:sz w:val="20"/>
          <w:szCs w:val="20"/>
          <w:color w:val="auto"/>
        </w:rPr>
      </w:pPr>
    </w:p>
    <w:p>
      <w:pPr>
        <w:ind w:left="640"/>
        <w:spacing w:after="0"/>
        <w:tabs>
          <w:tab w:leader="none" w:pos="4500" w:val="left"/>
          <w:tab w:leader="none" w:pos="4940" w:val="left"/>
        </w:tabs>
        <w:rPr>
          <w:sz w:val="20"/>
          <w:szCs w:val="20"/>
          <w:color w:val="auto"/>
        </w:rPr>
      </w:pPr>
      <w:r>
        <w:rPr>
          <w:rFonts w:ascii="Times New Roman" w:cs="Times New Roman" w:eastAsia="Times New Roman" w:hAnsi="Times New Roman"/>
          <w:sz w:val="13"/>
          <w:szCs w:val="13"/>
          <w:color w:val="auto"/>
        </w:rPr>
        <w:t>Date: November 4,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Edward Traynor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9525</wp:posOffset>
            </wp:positionV>
            <wp:extent cx="21602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5715"/>
                    </a:xfrm>
                    <a:prstGeom prst="rect">
                      <a:avLst/>
                    </a:prstGeom>
                    <a:noFill/>
                  </pic:spPr>
                </pic:pic>
              </a:graphicData>
            </a:graphic>
          </wp:anchor>
        </w:drawing>
      </w:r>
    </w:p>
    <w:p>
      <w:pPr>
        <w:spacing w:after="0" w:line="14" w:lineRule="exact"/>
        <w:rPr>
          <w:sz w:val="20"/>
          <w:szCs w:val="20"/>
          <w:color w:val="auto"/>
        </w:rPr>
      </w:pPr>
    </w:p>
    <w:p>
      <w:pPr>
        <w:ind w:left="4520"/>
        <w:spacing w:after="0"/>
        <w:tabs>
          <w:tab w:leader="none" w:pos="4940" w:val="left"/>
        </w:tabs>
        <w:rPr>
          <w:sz w:val="20"/>
          <w:szCs w:val="20"/>
          <w:color w:val="auto"/>
        </w:rPr>
      </w:pPr>
      <w:r>
        <w:rPr>
          <w:rFonts w:ascii="Times New Roman" w:cs="Times New Roman" w:eastAsia="Times New Roman" w:hAnsi="Times New Roman"/>
          <w:sz w:val="13"/>
          <w:szCs w:val="13"/>
          <w:color w:val="auto"/>
        </w:rPr>
        <w:t>Name:</w:t>
      </w:r>
      <w:r>
        <w:rPr>
          <w:sz w:val="20"/>
          <w:szCs w:val="20"/>
          <w:color w:val="auto"/>
        </w:rPr>
        <w:tab/>
      </w:r>
      <w:r>
        <w:rPr>
          <w:rFonts w:ascii="Times New Roman" w:cs="Times New Roman" w:eastAsia="Times New Roman" w:hAnsi="Times New Roman"/>
          <w:sz w:val="12"/>
          <w:szCs w:val="12"/>
          <w:color w:val="auto"/>
        </w:rPr>
        <w:t>Edward Traynor</w:t>
      </w:r>
    </w:p>
    <w:p>
      <w:pPr>
        <w:spacing w:after="0" w:line="2" w:lineRule="exact"/>
        <w:rPr>
          <w:sz w:val="20"/>
          <w:szCs w:val="20"/>
          <w:color w:val="auto"/>
        </w:rPr>
      </w:pPr>
    </w:p>
    <w:p>
      <w:pPr>
        <w:ind w:left="4520"/>
        <w:spacing w:after="0"/>
        <w:tabs>
          <w:tab w:leader="none" w:pos="4940" w:val="left"/>
        </w:tabs>
        <w:rPr>
          <w:sz w:val="20"/>
          <w:szCs w:val="20"/>
          <w:color w:val="auto"/>
        </w:rPr>
      </w:pPr>
      <w:r>
        <w:rPr>
          <w:rFonts w:ascii="Times New Roman" w:cs="Times New Roman" w:eastAsia="Times New Roman" w:hAnsi="Times New Roman"/>
          <w:sz w:val="13"/>
          <w:szCs w:val="13"/>
          <w:color w:val="auto"/>
        </w:rPr>
        <w:t>Title:</w:t>
        <w:tab/>
        <w:t>Company Secretary</w:t>
      </w:r>
    </w:p>
    <w:p>
      <w:pPr>
        <w:sectPr>
          <w:pgSz w:w="11900" w:h="16838" w:orient="portrait"/>
          <w:cols w:equalWidth="0" w:num="1">
            <w:col w:w="9019"/>
          </w:cols>
          <w:pgMar w:left="1440" w:top="248" w:right="1440" w:bottom="1440" w:gutter="0" w:footer="0" w:header="0"/>
        </w:sectPr>
      </w:pPr>
    </w:p>
    <w:bookmarkStart w:id="3" w:name="page4"/>
    <w:bookmarkEnd w:id="3"/>
    <w:p>
      <w:pPr>
        <w:ind w:left="77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126365</wp:posOffset>
            </wp:positionV>
            <wp:extent cx="4128135" cy="5355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28135" cy="5355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640" w:right="859"/>
        <w:spacing w:after="0" w:line="270" w:lineRule="auto"/>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77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577850"/>
                    </a:xfrm>
                    <a:prstGeom prst="rect">
                      <a:avLst/>
                    </a:prstGeom>
                    <a:noFill/>
                  </pic:spPr>
                </pic:pic>
              </a:graphicData>
            </a:graphic>
          </wp:anchor>
        </w:drawing>
        <w:t>New York, November 4, 2026: Flutter Entertainment plc (NYSE: FLUT) (“Flutter”), the world’s leading online sports betting and iGaming operator, today announces Q3 2026 results.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Highlights</w:t>
      </w:r>
    </w:p>
    <w:p>
      <w:pPr>
        <w:spacing w:after="0" w:line="89" w:lineRule="exact"/>
        <w:rPr>
          <w:sz w:val="20"/>
          <w:szCs w:val="20"/>
          <w:color w:val="auto"/>
        </w:rPr>
      </w:pPr>
    </w:p>
    <w:p>
      <w:pPr>
        <w:ind w:left="940" w:hanging="227"/>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CEO Dan Taylor sets priorities to drive greater value from Flutter’s scale</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sportsbook execution driving improved market share trajectory</w:t>
      </w:r>
      <w:r>
        <w:rPr>
          <w:rFonts w:ascii="Times New Roman" w:cs="Times New Roman" w:eastAsia="Times New Roman" w:hAnsi="Times New Roman"/>
          <w:sz w:val="18"/>
          <w:szCs w:val="18"/>
          <w:color w:val="auto"/>
          <w:vertAlign w:val="superscript"/>
        </w:rPr>
        <w:t>1</w:t>
      </w:r>
    </w:p>
    <w:p>
      <w:pPr>
        <w:spacing w:after="0" w:line="43"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FanDuel prediction market capabilities substantially improved</w:t>
      </w:r>
    </w:p>
    <w:p>
      <w:pPr>
        <w:spacing w:after="0" w:line="73"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Strong execution in International offset by year-over-year swing in sports results</w:t>
      </w:r>
      <w:r>
        <w:rPr>
          <w:rFonts w:ascii="Times New Roman" w:cs="Times New Roman" w:eastAsia="Times New Roman" w:hAnsi="Times New Roman"/>
          <w:sz w:val="18"/>
          <w:szCs w:val="18"/>
          <w:color w:val="auto"/>
          <w:vertAlign w:val="superscript"/>
        </w:rPr>
        <w:t>2</w:t>
      </w:r>
    </w:p>
    <w:p>
      <w:pPr>
        <w:spacing w:after="0" w:line="43"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Prioritizing organic investment and deleveraging; share repurchase program paused for the foreseeable future</w:t>
      </w:r>
    </w:p>
    <w:p>
      <w:pPr>
        <w:spacing w:after="0" w:line="73"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Decisive cost actions taken including UKI restructuring and Betfair Brazil closure</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Refinancing complete, extending Revolving Credit Facility and Term Loan A maturities to 2032</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2026 guidance updated for adverse sports results and Brazil</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Q3 Overview</w:t>
      </w:r>
      <w:r>
        <w:rPr>
          <w:rFonts w:ascii="Times New Roman" w:cs="Times New Roman" w:eastAsia="Times New Roman" w:hAnsi="Times New Roman"/>
          <w:sz w:val="18"/>
          <w:szCs w:val="18"/>
          <w:b w:val="1"/>
          <w:bCs w:val="1"/>
          <w:color w:val="auto"/>
          <w:vertAlign w:val="superscript"/>
        </w:rPr>
        <w:t>3</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17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 millions except where stated otherwise</w:t>
            </w:r>
          </w:p>
        </w:tc>
        <w:tc>
          <w:tcPr>
            <w:tcW w:w="2840" w:type="dxa"/>
            <w:vAlign w:val="bottom"/>
            <w:vMerge w:val="restart"/>
          </w:tcPr>
          <w:p>
            <w:pPr>
              <w:spacing w:after="0"/>
              <w:rPr>
                <w:sz w:val="10"/>
                <w:szCs w:val="10"/>
                <w:color w:val="auto"/>
              </w:rPr>
            </w:pPr>
          </w:p>
        </w:tc>
        <w:tc>
          <w:tcPr>
            <w:tcW w:w="1900" w:type="dxa"/>
            <w:vAlign w:val="bottom"/>
            <w:gridSpan w:val="6"/>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0" w:type="dxa"/>
            <w:vAlign w:val="bottom"/>
          </w:tcPr>
          <w:p>
            <w:pPr>
              <w:spacing w:after="0"/>
              <w:rPr>
                <w:sz w:val="1"/>
                <w:szCs w:val="1"/>
                <w:color w:val="auto"/>
              </w:rPr>
            </w:pPr>
          </w:p>
        </w:tc>
      </w:tr>
      <w:tr>
        <w:trPr>
          <w:trHeight w:val="116"/>
        </w:trPr>
        <w:tc>
          <w:tcPr>
            <w:tcW w:w="1760" w:type="dxa"/>
            <w:vAlign w:val="bottom"/>
            <w:tcBorders>
              <w:bottom w:val="single" w:sz="8" w:color="auto"/>
            </w:tcBorders>
            <w:vMerge w:val="continue"/>
          </w:tcPr>
          <w:p>
            <w:pPr>
              <w:spacing w:after="0"/>
              <w:rPr>
                <w:sz w:val="9"/>
                <w:szCs w:val="9"/>
                <w:color w:val="auto"/>
              </w:rPr>
            </w:pPr>
          </w:p>
        </w:tc>
        <w:tc>
          <w:tcPr>
            <w:tcW w:w="2840" w:type="dxa"/>
            <w:vAlign w:val="bottom"/>
            <w:vMerge w:val="continue"/>
          </w:tcPr>
          <w:p>
            <w:pPr>
              <w:spacing w:after="0"/>
              <w:rPr>
                <w:sz w:val="9"/>
                <w:szCs w:val="9"/>
                <w:color w:val="auto"/>
              </w:rPr>
            </w:pPr>
          </w:p>
        </w:tc>
        <w:tc>
          <w:tcPr>
            <w:tcW w:w="440" w:type="dxa"/>
            <w:vAlign w:val="bottom"/>
          </w:tcPr>
          <w:p>
            <w:pPr>
              <w:jc w:val="right"/>
              <w:ind w:right="60"/>
              <w:spacing w:after="0" w:line="112" w:lineRule="exact"/>
              <w:rPr>
                <w:sz w:val="20"/>
                <w:szCs w:val="20"/>
                <w:color w:val="auto"/>
              </w:rPr>
            </w:pPr>
            <w:r>
              <w:rPr>
                <w:rFonts w:ascii="Times New Roman" w:cs="Times New Roman" w:eastAsia="Times New Roman" w:hAnsi="Times New Roman"/>
                <w:sz w:val="10"/>
                <w:szCs w:val="10"/>
                <w:b w:val="1"/>
                <w:bCs w:val="1"/>
                <w:color w:val="auto"/>
              </w:rPr>
              <w:t>2026</w:t>
            </w:r>
          </w:p>
        </w:tc>
        <w:tc>
          <w:tcPr>
            <w:tcW w:w="260" w:type="dxa"/>
            <w:vAlign w:val="bottom"/>
          </w:tcPr>
          <w:p>
            <w:pPr>
              <w:spacing w:after="0"/>
              <w:rPr>
                <w:sz w:val="9"/>
                <w:szCs w:val="9"/>
                <w:color w:val="auto"/>
              </w:rPr>
            </w:pPr>
          </w:p>
        </w:tc>
        <w:tc>
          <w:tcPr>
            <w:tcW w:w="460" w:type="dxa"/>
            <w:vAlign w:val="bottom"/>
          </w:tcPr>
          <w:p>
            <w:pPr>
              <w:jc w:val="right"/>
              <w:ind w:right="79"/>
              <w:spacing w:after="0" w:line="112" w:lineRule="exact"/>
              <w:rPr>
                <w:sz w:val="20"/>
                <w:szCs w:val="20"/>
                <w:color w:val="auto"/>
              </w:rPr>
            </w:pPr>
            <w:r>
              <w:rPr>
                <w:rFonts w:ascii="Times New Roman" w:cs="Times New Roman" w:eastAsia="Times New Roman" w:hAnsi="Times New Roman"/>
                <w:sz w:val="10"/>
                <w:szCs w:val="10"/>
                <w:color w:val="auto"/>
              </w:rPr>
              <w:t>2025</w:t>
            </w:r>
          </w:p>
        </w:tc>
        <w:tc>
          <w:tcPr>
            <w:tcW w:w="260" w:type="dxa"/>
            <w:vAlign w:val="bottom"/>
          </w:tcPr>
          <w:p>
            <w:pPr>
              <w:spacing w:after="0"/>
              <w:rPr>
                <w:sz w:val="9"/>
                <w:szCs w:val="9"/>
                <w:color w:val="auto"/>
              </w:rPr>
            </w:pPr>
          </w:p>
        </w:tc>
        <w:tc>
          <w:tcPr>
            <w:tcW w:w="480" w:type="dxa"/>
            <w:vAlign w:val="bottom"/>
            <w:gridSpan w:val="2"/>
          </w:tcPr>
          <w:p>
            <w:pPr>
              <w:jc w:val="right"/>
              <w:ind w:right="240"/>
              <w:spacing w:after="0" w:line="112" w:lineRule="exact"/>
              <w:rPr>
                <w:sz w:val="20"/>
                <w:szCs w:val="20"/>
                <w:color w:val="auto"/>
              </w:rPr>
            </w:pPr>
            <w:r>
              <w:rPr>
                <w:rFonts w:ascii="Times New Roman" w:cs="Times New Roman" w:eastAsia="Times New Roman" w:hAnsi="Times New Roman"/>
                <w:sz w:val="10"/>
                <w:szCs w:val="10"/>
                <w:color w:val="auto"/>
              </w:rPr>
              <w:t>YoY</w:t>
            </w:r>
          </w:p>
        </w:tc>
        <w:tc>
          <w:tcPr>
            <w:tcW w:w="0" w:type="dxa"/>
            <w:vAlign w:val="bottom"/>
          </w:tcPr>
          <w:p>
            <w:pPr>
              <w:spacing w:after="0"/>
              <w:rPr>
                <w:sz w:val="1"/>
                <w:szCs w:val="1"/>
                <w:color w:val="auto"/>
              </w:rPr>
            </w:pPr>
          </w:p>
        </w:tc>
      </w:tr>
      <w:tr>
        <w:trPr>
          <w:trHeight w:val="20"/>
        </w:trPr>
        <w:tc>
          <w:tcPr>
            <w:tcW w:w="4600" w:type="dxa"/>
            <w:vAlign w:val="bottom"/>
            <w:gridSpan w:val="2"/>
            <w:vMerge w:val="restart"/>
            <w:shd w:val="clear" w:color="auto" w:fill="CCEEFF"/>
          </w:tcPr>
          <w:p>
            <w:pPr>
              <w:spacing w:after="0" w:line="150" w:lineRule="exact"/>
              <w:rPr>
                <w:sz w:val="20"/>
                <w:szCs w:val="20"/>
                <w:color w:val="auto"/>
              </w:rPr>
            </w:pPr>
            <w:r>
              <w:rPr>
                <w:rFonts w:ascii="Times New Roman" w:cs="Times New Roman" w:eastAsia="Times New Roman" w:hAnsi="Times New Roman"/>
                <w:sz w:val="12"/>
                <w:szCs w:val="12"/>
                <w:color w:val="auto"/>
              </w:rPr>
              <w:t>Average monthly players (AMPs) (‘000s’)</w:t>
            </w:r>
            <w:r>
              <w:rPr>
                <w:rFonts w:ascii="Times New Roman" w:cs="Times New Roman" w:eastAsia="Times New Roman" w:hAnsi="Times New Roman"/>
                <w:sz w:val="17"/>
                <w:szCs w:val="17"/>
                <w:color w:val="auto"/>
                <w:vertAlign w:val="superscript"/>
              </w:rPr>
              <w:t>4</w:t>
            </w: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00" w:type="dxa"/>
            <w:vAlign w:val="bottom"/>
            <w:gridSpan w:val="2"/>
            <w:vMerge w:val="continue"/>
            <w:shd w:val="clear" w:color="auto" w:fill="CCEEFF"/>
          </w:tcPr>
          <w:p>
            <w:pPr>
              <w:spacing w:after="0"/>
              <w:rPr>
                <w:sz w:val="11"/>
                <w:szCs w:val="11"/>
                <w:color w:val="auto"/>
              </w:rPr>
            </w:pPr>
          </w:p>
        </w:tc>
        <w:tc>
          <w:tcPr>
            <w:tcW w:w="4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13,669</w:t>
            </w:r>
          </w:p>
        </w:tc>
        <w:tc>
          <w:tcPr>
            <w:tcW w:w="260" w:type="dxa"/>
            <w:vAlign w:val="bottom"/>
            <w:vMerge w:val="continue"/>
            <w:shd w:val="clear" w:color="auto" w:fill="CCEEFF"/>
          </w:tcPr>
          <w:p>
            <w:pPr>
              <w:spacing w:after="0"/>
              <w:rPr>
                <w:sz w:val="11"/>
                <w:szCs w:val="11"/>
                <w:color w:val="auto"/>
              </w:rPr>
            </w:pPr>
          </w:p>
        </w:tc>
        <w:tc>
          <w:tcPr>
            <w:tcW w:w="4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14,133</w:t>
            </w:r>
          </w:p>
        </w:tc>
        <w:tc>
          <w:tcPr>
            <w:tcW w:w="260" w:type="dxa"/>
            <w:vAlign w:val="bottom"/>
            <w:vMerge w:val="continue"/>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2"/>
        </w:trPr>
        <w:tc>
          <w:tcPr>
            <w:tcW w:w="4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3,874</w:t>
            </w:r>
          </w:p>
        </w:tc>
        <w:tc>
          <w:tcPr>
            <w:tcW w:w="2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3,794</w:t>
            </w:r>
          </w:p>
        </w:tc>
        <w:tc>
          <w:tcPr>
            <w:tcW w:w="26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(1,148)</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(789)</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52"/>
        </w:trPr>
        <w:tc>
          <w:tcPr>
            <w:tcW w:w="4600" w:type="dxa"/>
            <w:vAlign w:val="bottom"/>
            <w:gridSpan w:val="2"/>
          </w:tcPr>
          <w:p>
            <w:pPr>
              <w:spacing w:after="0" w:line="152" w:lineRule="exact"/>
              <w:rPr>
                <w:sz w:val="20"/>
                <w:szCs w:val="20"/>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7"/>
                <w:szCs w:val="17"/>
                <w:color w:val="auto"/>
                <w:vertAlign w:val="superscript"/>
              </w:rPr>
              <w:t>5</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360</w:t>
            </w:r>
          </w:p>
        </w:tc>
        <w:tc>
          <w:tcPr>
            <w:tcW w:w="2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26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2"/>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w:t>
            </w: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38"/>
        </w:trPr>
        <w:tc>
          <w:tcPr>
            <w:tcW w:w="4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Leverage ratio</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xml:space="preserve"> (December 2025 3.7x)</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4.6x</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40" w:hanging="227"/>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Group AMPs -3% (US +12%, International -8%) reflecting India closure in August 2025</w:t>
      </w:r>
    </w:p>
    <w:p>
      <w:pPr>
        <w:spacing w:after="0" w:line="73" w:lineRule="exact"/>
        <w:rPr>
          <w:rFonts w:ascii="Times New Roman" w:cs="Times New Roman" w:eastAsia="Times New Roman" w:hAnsi="Times New Roman"/>
          <w:sz w:val="13"/>
          <w:szCs w:val="13"/>
          <w:color w:val="auto"/>
        </w:rPr>
      </w:pPr>
    </w:p>
    <w:p>
      <w:pPr>
        <w:ind w:left="940" w:right="699" w:hanging="227"/>
        <w:spacing w:after="0" w:line="267"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Group revenue +2%, driven by underlying performances in US sportsbook, UKI and SEA, offset by an adverse year-over-year impact from sports results in International</w:t>
      </w:r>
    </w:p>
    <w:p>
      <w:pPr>
        <w:spacing w:after="0" w:line="55" w:lineRule="exact"/>
        <w:rPr>
          <w:rFonts w:ascii="Times New Roman" w:cs="Times New Roman" w:eastAsia="Times New Roman" w:hAnsi="Times New Roman"/>
          <w:sz w:val="13"/>
          <w:szCs w:val="13"/>
          <w:color w:val="auto"/>
        </w:rPr>
      </w:pPr>
    </w:p>
    <w:p>
      <w:pPr>
        <w:ind w:left="940" w:right="719" w:hanging="227"/>
        <w:spacing w:after="0" w:line="267"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revenue $1,455m, +6% (sportsbook +4%, iGaming +8%) with adjusted EBITDA $3m, (-94%), following investment in our prediction market offering and Alberta launch</w:t>
      </w:r>
    </w:p>
    <w:p>
      <w:pPr>
        <w:spacing w:after="0" w:line="55" w:lineRule="exact"/>
        <w:rPr>
          <w:rFonts w:ascii="Times New Roman" w:cs="Times New Roman" w:eastAsia="Times New Roman" w:hAnsi="Times New Roman"/>
          <w:sz w:val="13"/>
          <w:szCs w:val="13"/>
          <w:color w:val="auto"/>
        </w:rPr>
      </w:pPr>
    </w:p>
    <w:p>
      <w:pPr>
        <w:ind w:left="940" w:right="699" w:hanging="227"/>
        <w:spacing w:after="0" w:line="267" w:lineRule="auto"/>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International revenue $2,419m, flat year-over-year (sportsbook -2%, iGaming +1%). Adjusted EBITDA $435m (-14%), reflecting the UK gaming tax increase, partially mitigated by cost savings in UKI and Brazil</w:t>
      </w:r>
    </w:p>
    <w:p>
      <w:pPr>
        <w:spacing w:after="0" w:line="55"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Group net loss, $1,148m (Q3 2025: $789m loss) due to:</w:t>
      </w:r>
    </w:p>
    <w:p>
      <w:pPr>
        <w:spacing w:after="0" w:line="87" w:lineRule="exact"/>
        <w:rPr>
          <w:rFonts w:ascii="Times New Roman" w:cs="Times New Roman" w:eastAsia="Times New Roman" w:hAnsi="Times New Roman"/>
          <w:sz w:val="13"/>
          <w:szCs w:val="13"/>
          <w:color w:val="auto"/>
        </w:rPr>
      </w:pPr>
    </w:p>
    <w:p>
      <w:pPr>
        <w:ind w:left="1320" w:right="839" w:hanging="303"/>
        <w:spacing w:after="0" w:line="255" w:lineRule="auto"/>
        <w:tabs>
          <w:tab w:leader="none" w:pos="13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Recognition of non-cash impairment charges of $873m relating to Brazil, reflecting previously disclosed challenging trading conditions and the Provisional Measure banning sports betting and iGaming. $537m of the post-tax impairment charge was attributable to Flutter reflecting 56% ownership of Flutter Brazil</w:t>
      </w:r>
    </w:p>
    <w:p>
      <w:pPr>
        <w:spacing w:after="0" w:line="6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$105m increase in legal loss contingencies</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Group adjusted EBITDA $360m (-25%) due to factors outlined above</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cash provided by operating activities +1%, with the Group performance outlined above offset by a positive movement in working capital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186"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2026 Guidance</w:t>
      </w:r>
      <w:r>
        <w:rPr>
          <w:rFonts w:ascii="Times New Roman" w:cs="Times New Roman" w:eastAsia="Times New Roman" w:hAnsi="Times New Roman"/>
          <w:sz w:val="18"/>
          <w:szCs w:val="18"/>
          <w:b w:val="1"/>
          <w:bCs w:val="1"/>
          <w:color w:val="auto"/>
          <w:vertAlign w:val="superscript"/>
        </w:rPr>
        <w:t>6,7</w:t>
      </w:r>
    </w:p>
    <w:p>
      <w:pPr>
        <w:spacing w:after="0" w:line="36" w:lineRule="exact"/>
        <w:rPr>
          <w:sz w:val="20"/>
          <w:szCs w:val="20"/>
          <w:color w:val="auto"/>
        </w:rPr>
      </w:pPr>
    </w:p>
    <w:p>
      <w:pPr>
        <w:ind w:left="640" w:right="719"/>
        <w:spacing w:after="0" w:line="244" w:lineRule="auto"/>
        <w:rPr>
          <w:sz w:val="20"/>
          <w:szCs w:val="20"/>
          <w:color w:val="auto"/>
        </w:rPr>
      </w:pPr>
      <w:r>
        <w:rPr>
          <w:rFonts w:ascii="Times New Roman" w:cs="Times New Roman" w:eastAsia="Times New Roman" w:hAnsi="Times New Roman"/>
          <w:sz w:val="13"/>
          <w:szCs w:val="13"/>
          <w:color w:val="auto"/>
        </w:rPr>
        <w:t>Early Q4 trading has been in line with expectations on an underlying basis, while sports results have been unfavorable in both the US and International. Full year guidance is updated to include the impact of sports results and the previously disclosed impact of the Brazil closure, partially offset by mitigating cost actions. This results in a reduction in full year Group revenue midpoint guidance of $300m to $17.61bn, and a reduction in full year adjusted EBITDA guidance of $160m to $2.495bn.</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Dan Taylor, CEO, commented:</w:t>
      </w:r>
    </w:p>
    <w:p>
      <w:pPr>
        <w:spacing w:after="0" w:line="78"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3"/>
          <w:szCs w:val="13"/>
          <w:i w:val="1"/>
          <w:iCs w:val="1"/>
          <w:color w:val="auto"/>
        </w:rPr>
        <w:t>“It is a privilege to take on the role of Flutter CEO. I know this business and the industry well, and I have a clear view of our strengths, where we need to improve, and where the biggest opportunities lie.</w:t>
      </w:r>
    </w:p>
    <w:p>
      <w:pPr>
        <w:spacing w:after="0" w:line="119" w:lineRule="exact"/>
        <w:rPr>
          <w:sz w:val="20"/>
          <w:szCs w:val="20"/>
          <w:color w:val="auto"/>
        </w:rPr>
      </w:pPr>
    </w:p>
    <w:p>
      <w:pPr>
        <w:ind w:left="640" w:right="739"/>
        <w:spacing w:after="0" w:line="257" w:lineRule="auto"/>
        <w:rPr>
          <w:sz w:val="20"/>
          <w:szCs w:val="20"/>
          <w:color w:val="auto"/>
        </w:rPr>
      </w:pPr>
      <w:r>
        <w:rPr>
          <w:rFonts w:ascii="Times New Roman" w:cs="Times New Roman" w:eastAsia="Times New Roman" w:hAnsi="Times New Roman"/>
          <w:sz w:val="13"/>
          <w:szCs w:val="13"/>
          <w:i w:val="1"/>
          <w:iCs w:val="1"/>
          <w:color w:val="auto"/>
        </w:rPr>
        <w:t>Online betting and gaming is still a relatively young industry, with significant room to grow as markets develop and customer behavior evolves. Flutter enters its next phase from a position of strength. We have leading businesses in many of the world’s most attractive markets, great brands and scale advantages that few others can match. Our job now is to make more of those advantages.</w:t>
      </w:r>
    </w:p>
    <w:p>
      <w:pPr>
        <w:spacing w:after="0" w:line="126" w:lineRule="exact"/>
        <w:rPr>
          <w:sz w:val="20"/>
          <w:szCs w:val="20"/>
          <w:color w:val="auto"/>
        </w:rPr>
      </w:pPr>
    </w:p>
    <w:p>
      <w:pPr>
        <w:jc w:val="both"/>
        <w:ind w:left="640" w:right="699"/>
        <w:spacing w:after="0" w:line="257" w:lineRule="auto"/>
        <w:rPr>
          <w:sz w:val="20"/>
          <w:szCs w:val="20"/>
          <w:color w:val="auto"/>
        </w:rPr>
      </w:pPr>
      <w:r>
        <w:rPr>
          <w:rFonts w:ascii="Times New Roman" w:cs="Times New Roman" w:eastAsia="Times New Roman" w:hAnsi="Times New Roman"/>
          <w:sz w:val="13"/>
          <w:szCs w:val="13"/>
          <w:i w:val="1"/>
          <w:iCs w:val="1"/>
          <w:color w:val="auto"/>
        </w:rPr>
        <w:t>Our Q3 performance gives me confidence that we are moving in the right direction. In the US, our sportsbook improvement plan is delivering early but tangible progress in customer engagement and performance. Our International business continues to benefit from strong underlying momentum and the impact of our cost transformation programs.</w:t>
      </w:r>
    </w:p>
    <w:p>
      <w:pPr>
        <w:spacing w:after="0" w:line="126" w:lineRule="exact"/>
        <w:rPr>
          <w:sz w:val="20"/>
          <w:szCs w:val="20"/>
          <w:color w:val="auto"/>
        </w:rPr>
      </w:pPr>
    </w:p>
    <w:p>
      <w:pPr>
        <w:ind w:left="640" w:right="659"/>
        <w:spacing w:after="0" w:line="257" w:lineRule="auto"/>
        <w:rPr>
          <w:sz w:val="20"/>
          <w:szCs w:val="20"/>
          <w:color w:val="auto"/>
        </w:rPr>
      </w:pPr>
      <w:r>
        <w:rPr>
          <w:rFonts w:ascii="Times New Roman" w:cs="Times New Roman" w:eastAsia="Times New Roman" w:hAnsi="Times New Roman"/>
          <w:sz w:val="13"/>
          <w:szCs w:val="13"/>
          <w:i w:val="1"/>
          <w:iCs w:val="1"/>
          <w:color w:val="auto"/>
        </w:rPr>
        <w:t>Looking ahead, our priorities are clear: build on our US leadership, capture the prediction markets opportunity, unlock more value from our International portfolio and simplify the way we operate. Delivering against those priorities will require faster execution, tough decisions and disciplined investment. I am confident our actions will make Flutter a stronger business in the long-term.”</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95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595630"/>
                    </a:xfrm>
                    <a:prstGeom prst="rect">
                      <a:avLst/>
                    </a:prstGeom>
                    <a:noFill/>
                  </pic:spPr>
                </pic:pic>
              </a:graphicData>
            </a:graphic>
          </wp:anchor>
        </w:drawing>
        <w:t>To our shareholders,</w:t>
      </w:r>
    </w:p>
    <w:p>
      <w:pPr>
        <w:spacing w:after="0" w:line="78" w:lineRule="exact"/>
        <w:rPr>
          <w:sz w:val="20"/>
          <w:szCs w:val="20"/>
          <w:color w:val="auto"/>
        </w:rPr>
      </w:pPr>
    </w:p>
    <w:p>
      <w:pPr>
        <w:jc w:val="both"/>
        <w:ind w:left="640" w:right="759"/>
        <w:spacing w:after="0" w:line="267" w:lineRule="auto"/>
        <w:rPr>
          <w:sz w:val="20"/>
          <w:szCs w:val="20"/>
          <w:color w:val="auto"/>
        </w:rPr>
      </w:pPr>
      <w:r>
        <w:rPr>
          <w:rFonts w:ascii="Times New Roman" w:cs="Times New Roman" w:eastAsia="Times New Roman" w:hAnsi="Times New Roman"/>
          <w:sz w:val="13"/>
          <w:szCs w:val="13"/>
          <w:color w:val="auto"/>
        </w:rPr>
        <w:t>This is one of my first opportunities as CEO to set out my initial thoughts and priorities. Having worked at Flutter and in the industry for many years, I know the strengths of our business well, and also the improvements required to deliver our next phase of growth.</w:t>
      </w:r>
    </w:p>
    <w:p>
      <w:pPr>
        <w:spacing w:after="0" w:line="122" w:lineRule="exact"/>
        <w:rPr>
          <w:sz w:val="20"/>
          <w:szCs w:val="20"/>
          <w:color w:val="auto"/>
        </w:rPr>
      </w:pPr>
    </w:p>
    <w:p>
      <w:pPr>
        <w:jc w:val="both"/>
        <w:ind w:left="640" w:right="759"/>
        <w:spacing w:after="0" w:line="255" w:lineRule="auto"/>
        <w:rPr>
          <w:sz w:val="20"/>
          <w:szCs w:val="20"/>
          <w:color w:val="auto"/>
        </w:rPr>
      </w:pPr>
      <w:r>
        <w:rPr>
          <w:rFonts w:ascii="Times New Roman" w:cs="Times New Roman" w:eastAsia="Times New Roman" w:hAnsi="Times New Roman"/>
          <w:sz w:val="13"/>
          <w:szCs w:val="13"/>
          <w:color w:val="auto"/>
        </w:rPr>
        <w:t>Flutter is the largest online gambling business with number one positions in many of the world’s most attractive betting and gaming markets. We have fantastic brands, deep sector expertise and significant scale, but we are not getting enough from these advantages. We need to simplify how we operate and move faster, removing costs so that we can invest more behind the right opportunities with the strongest long-term returns.</w:t>
      </w:r>
    </w:p>
    <w:p>
      <w:pPr>
        <w:spacing w:after="0" w:line="130"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Our Q3 performance shows that the actions we have already taken are the right ones. Underlying performance in the US was ahead of expectations, while in International we are building on our transformation program and delivering market share gains in our core markets. Sports results went against us in the quarter, however, which is reflected in our updated 2026 guidance.</w:t>
      </w:r>
    </w:p>
    <w:p>
      <w:pPr>
        <w:spacing w:after="0" w:line="130"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Against that backdrop I have four immediate operational priorities: building on our US leadership position; capturing the prediction markets opportunity; driving more value from our International portfolio; and simplifying our operating model. Delivering on these priorities will require clear leadership and tough decisions, while remaining disciplined in our investments, focused on improving our cashflow conversion and deleveraging the balance sheet.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Build on our US leadership position</w:t>
      </w:r>
    </w:p>
    <w:p>
      <w:pPr>
        <w:spacing w:after="0" w:line="78" w:lineRule="exact"/>
        <w:rPr>
          <w:sz w:val="20"/>
          <w:szCs w:val="20"/>
          <w:color w:val="auto"/>
        </w:rPr>
      </w:pPr>
    </w:p>
    <w:p>
      <w:pPr>
        <w:ind w:left="640" w:right="879"/>
        <w:spacing w:after="0" w:line="257" w:lineRule="auto"/>
        <w:rPr>
          <w:sz w:val="20"/>
          <w:szCs w:val="20"/>
          <w:color w:val="auto"/>
        </w:rPr>
      </w:pPr>
      <w:r>
        <w:rPr>
          <w:rFonts w:ascii="Times New Roman" w:cs="Times New Roman" w:eastAsia="Times New Roman" w:hAnsi="Times New Roman"/>
          <w:sz w:val="13"/>
          <w:szCs w:val="13"/>
          <w:i w:val="1"/>
          <w:iCs w:val="1"/>
          <w:color w:val="auto"/>
        </w:rPr>
        <w:t>I strongly believe we have the best assets to capture the significant opportunity in the increasingly competitive North American market. However, we must reaffirm our US leadership position by operating at a faster pace, delivering relentless product innovation, and investing where we see the opportunity to deliver long-term value.</w:t>
      </w:r>
    </w:p>
    <w:p>
      <w:pPr>
        <w:spacing w:after="0" w:line="128"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We took decisive action earlier in the year to improve our value proposition and increase our share of wallet, including the launch of our FanDuel Rewards program and accelerating our product roadmap. These actions are delivering encouraging returns; our sportsbook performance was ahead of expectations and we took market share.</w:t>
      </w:r>
    </w:p>
    <w:p>
      <w:pPr>
        <w:spacing w:after="0" w:line="130" w:lineRule="exact"/>
        <w:rPr>
          <w:sz w:val="20"/>
          <w:szCs w:val="20"/>
          <w:color w:val="auto"/>
        </w:rPr>
      </w:pPr>
    </w:p>
    <w:p>
      <w:pPr>
        <w:ind w:left="640" w:right="759"/>
        <w:spacing w:after="0" w:line="214" w:lineRule="auto"/>
        <w:rPr>
          <w:sz w:val="20"/>
          <w:szCs w:val="20"/>
          <w:color w:val="auto"/>
        </w:rPr>
      </w:pPr>
      <w:r>
        <w:rPr>
          <w:rFonts w:ascii="Times New Roman" w:cs="Times New Roman" w:eastAsia="Times New Roman" w:hAnsi="Times New Roman"/>
          <w:sz w:val="13"/>
          <w:szCs w:val="13"/>
          <w:color w:val="auto"/>
        </w:rPr>
        <w:t>Customers are responding well to these changes; generosity perception increased seven percentage points</w:t>
      </w: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3"/>
          <w:szCs w:val="13"/>
          <w:color w:val="auto"/>
        </w:rPr>
        <w:t>, while player frequency rose 4%, and bet count grew 15%</w:t>
      </w: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13"/>
          <w:szCs w:val="13"/>
          <w:color w:val="auto"/>
        </w:rPr>
        <w:t>. Sportsbook revenue increased 4%, reflecting promotional spend increasing to market levels, with strong AMP and handle growth of 9% and 13%, respectively. This good performance provides a solid base for us to build on. We must continue what we are doing well, while ensuring our customer proposition remains at competitive levels. I am confident we are making the right decisions to defend our leadership position and deliver FanDuel’s long-term success.</w:t>
      </w:r>
    </w:p>
    <w:p>
      <w:pPr>
        <w:spacing w:after="0" w:line="141" w:lineRule="exact"/>
        <w:rPr>
          <w:sz w:val="20"/>
          <w:szCs w:val="20"/>
          <w:color w:val="auto"/>
        </w:rPr>
      </w:pPr>
    </w:p>
    <w:p>
      <w:pPr>
        <w:jc w:val="both"/>
        <w:ind w:left="640" w:right="839"/>
        <w:spacing w:after="0" w:line="264" w:lineRule="auto"/>
        <w:rPr>
          <w:sz w:val="20"/>
          <w:szCs w:val="20"/>
          <w:color w:val="auto"/>
        </w:rPr>
      </w:pPr>
      <w:r>
        <w:rPr>
          <w:rFonts w:ascii="Times New Roman" w:cs="Times New Roman" w:eastAsia="Times New Roman" w:hAnsi="Times New Roman"/>
          <w:sz w:val="13"/>
          <w:szCs w:val="13"/>
          <w:color w:val="auto"/>
        </w:rPr>
        <w:t>We continue to see a limited impact from prediction markets on the betting activity of our existing customer base, which I believe, and our consumer research affirms, reflects the superior proposition offered by sportsbooks. We are, however, beginning to see an impact on our overall media costs as prediction market operators increase marketing spend. The duration of this trend will depend in part on how the regulatory landscape develops, but at this early stage, we expect our marketing intensity</w:t>
      </w: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13"/>
          <w:szCs w:val="13"/>
          <w:color w:val="auto"/>
        </w:rPr>
        <w:t xml:space="preserve"> to continue in 2027 at levels similar to this year.</w:t>
      </w:r>
    </w:p>
    <w:p>
      <w:pPr>
        <w:spacing w:after="0" w:line="37" w:lineRule="exact"/>
        <w:rPr>
          <w:sz w:val="20"/>
          <w:szCs w:val="20"/>
          <w:color w:val="auto"/>
        </w:rPr>
      </w:pPr>
    </w:p>
    <w:p>
      <w:pPr>
        <w:ind w:left="640" w:right="699"/>
        <w:spacing w:after="0" w:line="229" w:lineRule="auto"/>
        <w:rPr>
          <w:sz w:val="20"/>
          <w:szCs w:val="20"/>
          <w:color w:val="auto"/>
        </w:rPr>
      </w:pPr>
      <w:r>
        <w:rPr>
          <w:rFonts w:ascii="Times New Roman" w:cs="Times New Roman" w:eastAsia="Times New Roman" w:hAnsi="Times New Roman"/>
          <w:sz w:val="13"/>
          <w:szCs w:val="13"/>
          <w:color w:val="auto"/>
        </w:rPr>
        <w:t>Over the last four years, we have transformed FanDuel Casino from a distant third place, into the market-leader</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by delivering best-in-class content and rewards to our customers. We must ensure we maintain our laser-focus on our customer proposition, delivering market-leading content. Player engagement in Q3 was strong with AMP growth of 24%. Revenue growth moderated to 8% primarily driven by competitive dynamics, and market moderation as the US iGaming states move through the maturity curve. Looking forward, the potential for new states to regulate iGaming provides very significant upside, as evidenced by our very strong launch in Alberta in July.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1217"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Capturing the prediction markets opportunity</w:t>
      </w:r>
    </w:p>
    <w:p>
      <w:pPr>
        <w:spacing w:after="0" w:line="78" w:lineRule="exact"/>
        <w:rPr>
          <w:sz w:val="20"/>
          <w:szCs w:val="20"/>
          <w:color w:val="auto"/>
        </w:rPr>
      </w:pPr>
    </w:p>
    <w:p>
      <w:pPr>
        <w:jc w:val="both"/>
        <w:ind w:left="640" w:right="1139"/>
        <w:spacing w:after="0" w:line="257" w:lineRule="auto"/>
        <w:rPr>
          <w:sz w:val="20"/>
          <w:szCs w:val="20"/>
          <w:color w:val="auto"/>
        </w:rPr>
      </w:pPr>
      <w:r>
        <w:rPr>
          <w:rFonts w:ascii="Times New Roman" w:cs="Times New Roman" w:eastAsia="Times New Roman" w:hAnsi="Times New Roman"/>
          <w:sz w:val="13"/>
          <w:szCs w:val="13"/>
          <w:i w:val="1"/>
          <w:iCs w:val="1"/>
          <w:color w:val="auto"/>
        </w:rPr>
        <w:t>Prediction markets represent a significant incremental growth area. Our priority is to build a strong position now, investing with discipline and maintaining flexibility to adapt quickly as regulation develops. We believe the actions we have taken in recent months mean we are much better positioned to deliver in three core areas:</w:t>
      </w:r>
    </w:p>
    <w:p>
      <w:pPr>
        <w:spacing w:after="0" w:line="52"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First, we must deliver a competitive product. The nationwide launch of our FanDuel One App and the transition of all sports contracts to Crypto.com, means we believe we now have a much more competitive sports offering that customers like and are increasingly engaging with. We have more work to do, and we have a clear plan to further strengthen our customer proposition.</w:t>
      </w:r>
    </w:p>
    <w:p>
      <w:pPr>
        <w:spacing w:after="0" w:line="130" w:lineRule="exact"/>
        <w:rPr>
          <w:sz w:val="20"/>
          <w:szCs w:val="20"/>
          <w:color w:val="auto"/>
        </w:rPr>
      </w:pPr>
    </w:p>
    <w:p>
      <w:pPr>
        <w:ind w:left="640" w:right="739"/>
        <w:spacing w:after="0" w:line="279" w:lineRule="auto"/>
        <w:rPr>
          <w:sz w:val="20"/>
          <w:szCs w:val="20"/>
          <w:color w:val="auto"/>
        </w:rPr>
      </w:pPr>
      <w:r>
        <w:rPr>
          <w:rFonts w:ascii="Times New Roman" w:cs="Times New Roman" w:eastAsia="Times New Roman" w:hAnsi="Times New Roman"/>
          <w:sz w:val="12"/>
          <w:szCs w:val="12"/>
          <w:color w:val="auto"/>
        </w:rPr>
        <w:t>Second, we must use the strength of the FanDuel brand to acquire customers and build a meaningful database in non-sportsbook states. Initial trading volumes are encouraging with total October volume growth almost tripling when compared with July. The customers we are acquiring look like typical sportsbook customers, demonstrating similar characteristics, but with lower costs per acquisition. We are investing at a level that we believe will position us well for the long term, balancing the need to operate at scale in targeted states, against the regulatory uncertainty in this space.</w:t>
      </w:r>
    </w:p>
    <w:p>
      <w:pPr>
        <w:spacing w:after="0" w:line="116"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Third, we can use our leading expertise in pricing sports events, and in particular complex correlated events to drive market-making growth. We are making excellent progress, we are on track to deliver our guidance for 2026, and going forward we believe that this growth will help fund our prediction market customer acquisition spend.</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Unlock more value from our International portfolio</w:t>
      </w:r>
    </w:p>
    <w:p>
      <w:pPr>
        <w:spacing w:after="0" w:line="78" w:lineRule="exact"/>
        <w:rPr>
          <w:sz w:val="20"/>
          <w:szCs w:val="20"/>
          <w:color w:val="auto"/>
        </w:rPr>
      </w:pPr>
    </w:p>
    <w:p>
      <w:pPr>
        <w:jc w:val="both"/>
        <w:ind w:left="640" w:right="859"/>
        <w:spacing w:after="0" w:line="257" w:lineRule="auto"/>
        <w:rPr>
          <w:sz w:val="20"/>
          <w:szCs w:val="20"/>
          <w:color w:val="auto"/>
        </w:rPr>
      </w:pPr>
      <w:r>
        <w:rPr>
          <w:rFonts w:ascii="Times New Roman" w:cs="Times New Roman" w:eastAsia="Times New Roman" w:hAnsi="Times New Roman"/>
          <w:sz w:val="13"/>
          <w:szCs w:val="13"/>
          <w:i w:val="1"/>
          <w:iCs w:val="1"/>
          <w:color w:val="auto"/>
        </w:rPr>
        <w:t>We have built a portfolio of regional powerhouses with number one positions in many of the world’s major regulated markets. Our scale allows us to invest in better products and customer experiences, while we believe our diversified business delivers resilient growth when individual markets face regulatory or economic change. My focus is on consistent execution, sustained growth and further market share gains.</w:t>
      </w:r>
    </w:p>
    <w:p>
      <w:pPr>
        <w:spacing w:after="0" w:line="128" w:lineRule="exact"/>
        <w:rPr>
          <w:sz w:val="20"/>
          <w:szCs w:val="20"/>
          <w:color w:val="auto"/>
        </w:rPr>
      </w:pPr>
    </w:p>
    <w:p>
      <w:pPr>
        <w:ind w:left="640" w:right="759"/>
        <w:spacing w:after="0" w:line="309" w:lineRule="auto"/>
        <w:rPr>
          <w:sz w:val="20"/>
          <w:szCs w:val="20"/>
          <w:color w:val="auto"/>
        </w:rPr>
      </w:pPr>
      <w:r>
        <w:rPr>
          <w:rFonts w:ascii="Times New Roman" w:cs="Times New Roman" w:eastAsia="Times New Roman" w:hAnsi="Times New Roman"/>
          <w:sz w:val="12"/>
          <w:szCs w:val="12"/>
          <w:color w:val="auto"/>
        </w:rPr>
        <w:t>We made good strategic progress during the quarter, strengthening our market-leading positions in Italy, UKI and CEE. Successful integrations in Italy (Snai), UKI (Sky Bet) and PokerStars are unlocking meaningful revenue upside, with cost benefits expected to be in excess of our $300m target.</w:t>
      </w:r>
    </w:p>
    <w:p>
      <w:pPr>
        <w:spacing w:after="0" w:line="98" w:lineRule="exact"/>
        <w:rPr>
          <w:sz w:val="20"/>
          <w:szCs w:val="20"/>
          <w:color w:val="auto"/>
        </w:rPr>
      </w:pPr>
    </w:p>
    <w:p>
      <w:pPr>
        <w:ind w:left="640" w:right="819"/>
        <w:spacing w:after="0" w:line="275" w:lineRule="auto"/>
        <w:rPr>
          <w:sz w:val="20"/>
          <w:szCs w:val="20"/>
          <w:color w:val="auto"/>
        </w:rPr>
      </w:pPr>
      <w:r>
        <w:rPr>
          <w:rFonts w:ascii="Times New Roman" w:cs="Times New Roman" w:eastAsia="Times New Roman" w:hAnsi="Times New Roman"/>
          <w:sz w:val="13"/>
          <w:szCs w:val="13"/>
          <w:color w:val="auto"/>
        </w:rPr>
        <w:t xml:space="preserve">In Italy, Sisal delivered another very strong performance supported by a revamped casino experience and an expanded </w:t>
      </w:r>
      <w:r>
        <w:rPr>
          <w:rFonts w:ascii="Times New Roman" w:cs="Times New Roman" w:eastAsia="Times New Roman" w:hAnsi="Times New Roman"/>
          <w:sz w:val="13"/>
          <w:szCs w:val="13"/>
          <w:i w:val="1"/>
          <w:iCs w:val="1"/>
          <w:color w:val="auto"/>
        </w:rPr>
        <w:t>MyCombo</w:t>
      </w:r>
      <w:r>
        <w:rPr>
          <w:rFonts w:ascii="Times New Roman" w:cs="Times New Roman" w:eastAsia="Times New Roman" w:hAnsi="Times New Roman"/>
          <w:sz w:val="13"/>
          <w:szCs w:val="13"/>
          <w:color w:val="auto"/>
        </w:rPr>
        <w:t xml:space="preserve"> product. Snai momentum also gathered pace with the product and generosity upgrades unlocked by the platform migration driving strong AMP growth. Our overall Italian online market share in Q3 grew by 2ppt year-over-year to 32%</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3"/>
          <w:szCs w:val="13"/>
          <w:color w:val="auto"/>
        </w:rPr>
        <w:t xml:space="preserve"> making us the clear number one.</w:t>
      </w:r>
    </w:p>
    <w:p>
      <w:pPr>
        <w:spacing w:after="0" w:line="29"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Within UKI a strong performance across our portfolio of leading brands saw us take market share. Record customer engagement during the FIFA World Cup helped deliver good sportsbook handle growth while strong cross-sell helped drive double-digit iGaming revenue growth.</w:t>
      </w:r>
    </w:p>
    <w:p>
      <w:pPr>
        <w:spacing w:after="0" w:line="122"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We also recently announced the significant restructuring of our UKI business. We believe this right-sizes the UKI business going forward and positions us well to take market share in the post UK tax increase environment.</w:t>
      </w:r>
    </w:p>
    <w:p>
      <w:pPr>
        <w:spacing w:after="0" w:line="122"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While momentum in these regions was strong, our overall International revenue growth was flat year-over-year, as sports results went against us, and the impact of what has become an increasingly challenging trading environment in Brazil played through into our financial performance. Adjusted EBITDA declined by 14% primarily due to the increase in UK gaming taxes.</w:t>
      </w:r>
    </w:p>
    <w:p>
      <w:pPr>
        <w:spacing w:after="0" w:line="13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We are very disappointed with the Government Provisional Measure banning online sports betting and iGaming in Brazil. In response, we have acted decisively; our operations are currently closed, and we have paused all discretionary and uncommitted spend. We have also restructured our business to focus on Betnacional as our sole brand in Brazil, closing our Betfair operations. The previously disclosed challenging trading environment together with the ban and the uncertain regulatory environment, resulted in a non-cash impairment of our assets in Brazil. With the right regulation, Brazil still has the opportunity to be an attractive market for us, however, we will remain disciplined in our deployment of capital as the regulatory environment continues to evolve.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8" w:name="page9"/>
    <w:bookmarkEnd w:id="8"/>
    <w:p>
      <w:pPr>
        <w:ind w:left="640" w:right="69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Despite the regulatory challenges we have faced over the last 12 months, I feel very confident that our International portfolio is now well set to leverage the transformations and cost efficiencies we have delivered, continue to take market share, and deliver against our target of 5-10% annual growth.</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Simplifying our operating model to get more value from our scale</w:t>
      </w:r>
    </w:p>
    <w:p>
      <w:pPr>
        <w:spacing w:after="0" w:line="78" w:lineRule="exact"/>
        <w:rPr>
          <w:sz w:val="20"/>
          <w:szCs w:val="20"/>
          <w:color w:val="auto"/>
        </w:rPr>
      </w:pPr>
    </w:p>
    <w:p>
      <w:pPr>
        <w:ind w:left="640" w:right="659"/>
        <w:spacing w:after="0" w:line="257" w:lineRule="auto"/>
        <w:rPr>
          <w:sz w:val="20"/>
          <w:szCs w:val="20"/>
          <w:color w:val="auto"/>
        </w:rPr>
      </w:pPr>
      <w:r>
        <w:rPr>
          <w:rFonts w:ascii="Times New Roman" w:cs="Times New Roman" w:eastAsia="Times New Roman" w:hAnsi="Times New Roman"/>
          <w:sz w:val="13"/>
          <w:szCs w:val="13"/>
          <w:i w:val="1"/>
          <w:iCs w:val="1"/>
          <w:color w:val="auto"/>
        </w:rPr>
        <w:t>The next phase for Flutter will be more streamlined to maximize the benefits of scale and ensure we do non-customer facing work once. That should help us move faster, reduce costs, and improve cash generation, allowing us to invest organically in the areas that drive the highest returns while also deleveraging the balance sheet.</w:t>
      </w:r>
    </w:p>
    <w:p>
      <w:pPr>
        <w:spacing w:after="0" w:line="128"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In addition to our existing International cost transformation and UK gaming tax mitigation programs, we expect to deliver an additional $500 million in gross operating cost and capital expenditure savings by 2029. By using AI, removing layers and duplication, and simplifying our technology infrastructure, we can make decisions faster, and direct greater investment towards our customers. In the US, these efficiencies will create more room to invest behind the next stage of growth. Internationally, we expect these benefits to support our previously projected long-term 5–10% annual revenue growth, while protecting adjusted EBITDA margins in more mature markets and funding investment in growth areas.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Final thoughts and outlook</w:t>
      </w:r>
    </w:p>
    <w:p>
      <w:pPr>
        <w:spacing w:after="0" w:line="80"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Looking ahead, I am encouraged by the momentum we are building. My focus is on turning our progress in the US into continued delivery, and ensuring we are making the right choices to secure FanDuel’s long-term success. In International, consistent execution and further cost efficiencies should deliver continued profit growth.</w:t>
      </w:r>
    </w:p>
    <w:p>
      <w:pPr>
        <w:spacing w:after="0" w:line="130" w:lineRule="exact"/>
        <w:rPr>
          <w:sz w:val="20"/>
          <w:szCs w:val="20"/>
          <w:color w:val="auto"/>
        </w:rPr>
      </w:pPr>
    </w:p>
    <w:p>
      <w:pPr>
        <w:jc w:val="both"/>
        <w:ind w:left="640" w:right="699"/>
        <w:spacing w:after="0" w:line="255" w:lineRule="auto"/>
        <w:rPr>
          <w:sz w:val="20"/>
          <w:szCs w:val="20"/>
          <w:color w:val="auto"/>
        </w:rPr>
      </w:pPr>
      <w:r>
        <w:rPr>
          <w:rFonts w:ascii="Times New Roman" w:cs="Times New Roman" w:eastAsia="Times New Roman" w:hAnsi="Times New Roman"/>
          <w:sz w:val="13"/>
          <w:szCs w:val="13"/>
          <w:color w:val="auto"/>
        </w:rPr>
        <w:t>Flutter has an exceptional set of assets and opportunities. Realizing their full potential will require hard choices, faster decisions and strong execution. I know confidence is earned through delivery and that is what I am focused on. I look forward to sharing more on our strategy, building on the priorities I have set out today, alongside our Q4 results in February.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102870</wp:posOffset>
            </wp:positionV>
            <wp:extent cx="998855" cy="403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885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Dan Taylor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Flutter CEO</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9" w:name="page10"/>
    <w:bookmarkEnd w:id="9"/>
    <w:tbl>
      <w:tblPr>
        <w:tblLayout w:type="fixed"/>
        <w:tblInd w:w="640" w:type="dxa"/>
        <w:tblCellMar>
          <w:top w:w="0" w:type="dxa"/>
          <w:left w:w="0" w:type="dxa"/>
          <w:bottom w:w="0" w:type="dxa"/>
          <w:right w:w="0" w:type="dxa"/>
        </w:tblCellMar>
      </w:tblPr>
      <w:tr>
        <w:trPr>
          <w:trHeight w:val="121"/>
        </w:trPr>
        <w:tc>
          <w:tcPr>
            <w:tcW w:w="222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In $ millions unless stated, unaudited</w:t>
            </w: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US</w:t>
            </w:r>
          </w:p>
        </w:tc>
        <w:tc>
          <w:tcPr>
            <w:tcW w:w="2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Group</w:t>
            </w:r>
          </w:p>
        </w:tc>
        <w:tc>
          <w:tcPr>
            <w:tcW w:w="2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r>
      <w:tr>
        <w:trPr>
          <w:trHeight w:val="94"/>
        </w:trPr>
        <w:tc>
          <w:tcPr>
            <w:tcW w:w="2220" w:type="dxa"/>
            <w:vAlign w:val="bottom"/>
            <w:tcBorders>
              <w:bottom w:val="single" w:sz="8" w:color="CCEEFF"/>
            </w:tcBorders>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80" w:type="dxa"/>
            <w:vAlign w:val="bottom"/>
            <w:tcBorders>
              <w:bottom w:val="single" w:sz="8" w:color="auto"/>
            </w:tcBorders>
          </w:tcPr>
          <w:p>
            <w:pPr>
              <w:jc w:val="right"/>
              <w:ind w:right="18"/>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24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jc w:val="right"/>
              <w:ind w:right="39"/>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2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YoY</w:t>
            </w:r>
          </w:p>
        </w:tc>
        <w:tc>
          <w:tcPr>
            <w:tcW w:w="34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jc w:val="right"/>
              <w:ind w:right="38"/>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22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jc w:val="right"/>
              <w:ind w:right="1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24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YoY</w:t>
            </w:r>
          </w:p>
        </w:tc>
        <w:tc>
          <w:tcPr>
            <w:tcW w:w="34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jc w:val="right"/>
              <w:ind w:right="38"/>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20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jc w:val="right"/>
              <w:ind w:right="41"/>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26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YoY</w:t>
            </w:r>
          </w:p>
        </w:tc>
        <w:tc>
          <w:tcPr>
            <w:tcW w:w="260" w:type="dxa"/>
            <w:vAlign w:val="bottom"/>
            <w:tcBorders>
              <w:bottom w:val="single" w:sz="8" w:color="CCEEFF"/>
            </w:tcBorders>
          </w:tcPr>
          <w:p>
            <w:pPr>
              <w:spacing w:after="0"/>
              <w:rPr>
                <w:sz w:val="8"/>
                <w:szCs w:val="8"/>
                <w:color w:val="auto"/>
              </w:rPr>
            </w:pPr>
          </w:p>
        </w:tc>
      </w:tr>
      <w:tr>
        <w:trPr>
          <w:trHeight w:val="141"/>
        </w:trPr>
        <w:tc>
          <w:tcPr>
            <w:tcW w:w="22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Average monthly players (‘000s)</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3,899</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3,476</w:t>
            </w: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57"/>
              <w:spacing w:after="0" w:line="141" w:lineRule="exact"/>
              <w:rPr>
                <w:sz w:val="20"/>
                <w:szCs w:val="20"/>
                <w:color w:val="auto"/>
              </w:rPr>
            </w:pPr>
            <w:r>
              <w:rPr>
                <w:rFonts w:ascii="Times New Roman" w:cs="Times New Roman" w:eastAsia="Times New Roman" w:hAnsi="Times New Roman"/>
                <w:sz w:val="13"/>
                <w:szCs w:val="13"/>
                <w:b w:val="1"/>
                <w:bCs w:val="1"/>
                <w:color w:val="auto"/>
              </w:rPr>
              <w:t>+12%</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9,770</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10,657</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17"/>
              <w:spacing w:after="0" w:line="141" w:lineRule="exact"/>
              <w:rPr>
                <w:sz w:val="20"/>
                <w:szCs w:val="20"/>
                <w:color w:val="auto"/>
              </w:rPr>
            </w:pPr>
            <w:r>
              <w:rPr>
                <w:rFonts w:ascii="Times New Roman" w:cs="Times New Roman" w:eastAsia="Times New Roman" w:hAnsi="Times New Roman"/>
                <w:sz w:val="13"/>
                <w:szCs w:val="13"/>
                <w:b w:val="1"/>
                <w:bCs w:val="1"/>
                <w:color w:val="auto"/>
              </w:rPr>
              <w:t>(8)%</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13,669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14,133</w:t>
            </w: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7"/>
              <w:spacing w:after="0" w:line="141" w:lineRule="exact"/>
              <w:rPr>
                <w:sz w:val="20"/>
                <w:szCs w:val="20"/>
                <w:color w:val="auto"/>
              </w:rPr>
            </w:pPr>
            <w:r>
              <w:rPr>
                <w:rFonts w:ascii="Times New Roman" w:cs="Times New Roman" w:eastAsia="Times New Roman" w:hAnsi="Times New Roman"/>
                <w:sz w:val="13"/>
                <w:szCs w:val="13"/>
                <w:b w:val="1"/>
                <w:bCs w:val="1"/>
                <w:color w:val="auto"/>
              </w:rPr>
              <w:t>(3)%</w:t>
            </w: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Handle</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12,023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10,653</w:t>
            </w:r>
          </w:p>
        </w:tc>
        <w:tc>
          <w:tcPr>
            <w:tcW w:w="6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+13%</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8,571</w:t>
            </w:r>
          </w:p>
        </w:tc>
        <w:tc>
          <w:tcPr>
            <w:tcW w:w="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7,902</w:t>
            </w:r>
          </w:p>
        </w:tc>
        <w:tc>
          <w:tcPr>
            <w:tcW w:w="240" w:type="dxa"/>
            <w:vAlign w:val="bottom"/>
          </w:tcPr>
          <w:p>
            <w:pPr>
              <w:spacing w:after="0"/>
              <w:rPr>
                <w:sz w:val="13"/>
                <w:szCs w:val="13"/>
                <w:color w:val="auto"/>
              </w:rPr>
            </w:pPr>
          </w:p>
        </w:tc>
        <w:tc>
          <w:tcPr>
            <w:tcW w:w="620" w:type="dxa"/>
            <w:vAlign w:val="bottom"/>
            <w:gridSpan w:val="2"/>
          </w:tcPr>
          <w:p>
            <w:pPr>
              <w:jc w:val="center"/>
              <w:ind w:right="37"/>
              <w:spacing w:after="0"/>
              <w:rPr>
                <w:sz w:val="20"/>
                <w:szCs w:val="20"/>
                <w:color w:val="auto"/>
              </w:rPr>
            </w:pPr>
            <w:r>
              <w:rPr>
                <w:rFonts w:ascii="Times New Roman" w:cs="Times New Roman" w:eastAsia="Times New Roman" w:hAnsi="Times New Roman"/>
                <w:sz w:val="13"/>
                <w:szCs w:val="13"/>
                <w:color w:val="auto"/>
                <w:w w:val="97"/>
              </w:rPr>
              <w:t>+8%</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20,594</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18,555</w:t>
            </w:r>
          </w:p>
        </w:tc>
        <w:tc>
          <w:tcPr>
            <w:tcW w:w="5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revenue margin</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6.8%</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7.4%</w:t>
            </w:r>
          </w:p>
        </w:tc>
        <w:tc>
          <w:tcPr>
            <w:tcW w:w="6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(60)bps</w:t>
            </w:r>
          </w:p>
        </w:tc>
        <w:tc>
          <w:tcPr>
            <w:tcW w:w="6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3"/>
                <w:szCs w:val="13"/>
                <w:color w:val="auto"/>
              </w:rPr>
              <w:t>11.2%</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12.4%</w:t>
            </w:r>
          </w:p>
        </w:tc>
        <w:tc>
          <w:tcPr>
            <w:tcW w:w="6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9"/>
              </w:rPr>
              <w:t>(120)bps</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8.6%</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(90)bps</w:t>
            </w: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Sportsbook revenue</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817</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783</w:t>
            </w:r>
          </w:p>
        </w:tc>
        <w:tc>
          <w:tcPr>
            <w:tcW w:w="6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+4%</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240" w:type="dxa"/>
            <w:vAlign w:val="bottom"/>
          </w:tcPr>
          <w:p>
            <w:pPr>
              <w:spacing w:after="0"/>
              <w:rPr>
                <w:sz w:val="13"/>
                <w:szCs w:val="13"/>
                <w:color w:val="auto"/>
              </w:rPr>
            </w:pPr>
          </w:p>
        </w:tc>
        <w:tc>
          <w:tcPr>
            <w:tcW w:w="6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(2)%</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1,780</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1,765</w:t>
            </w:r>
          </w:p>
        </w:tc>
        <w:tc>
          <w:tcPr>
            <w:tcW w:w="5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iGaming revenue</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572</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530</w:t>
            </w:r>
          </w:p>
        </w:tc>
        <w:tc>
          <w:tcPr>
            <w:tcW w:w="62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7"/>
              </w:rPr>
              <w:t>+1%</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1,951</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1,899</w:t>
            </w:r>
          </w:p>
        </w:tc>
        <w:tc>
          <w:tcPr>
            <w:tcW w:w="5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Other revenue</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66</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w:t>
            </w:r>
          </w:p>
        </w:tc>
        <w:tc>
          <w:tcPr>
            <w:tcW w:w="6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+20%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40" w:type="dxa"/>
            <w:vAlign w:val="bottom"/>
          </w:tcPr>
          <w:p>
            <w:pPr>
              <w:spacing w:after="0"/>
              <w:rPr>
                <w:sz w:val="13"/>
                <w:szCs w:val="13"/>
                <w:color w:val="auto"/>
              </w:rPr>
            </w:pPr>
          </w:p>
        </w:tc>
        <w:tc>
          <w:tcPr>
            <w:tcW w:w="620" w:type="dxa"/>
            <w:vAlign w:val="bottom"/>
            <w:gridSpan w:val="2"/>
          </w:tcPr>
          <w:p>
            <w:pPr>
              <w:jc w:val="center"/>
              <w:ind w:right="37"/>
              <w:spacing w:after="0"/>
              <w:rPr>
                <w:sz w:val="20"/>
                <w:szCs w:val="20"/>
                <w:color w:val="auto"/>
              </w:rPr>
            </w:pPr>
            <w:r>
              <w:rPr>
                <w:rFonts w:ascii="Times New Roman" w:cs="Times New Roman" w:eastAsia="Times New Roman" w:hAnsi="Times New Roman"/>
                <w:sz w:val="13"/>
                <w:szCs w:val="13"/>
                <w:color w:val="auto"/>
                <w:w w:val="97"/>
              </w:rPr>
              <w:t>+3%</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143</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130</w:t>
            </w:r>
          </w:p>
        </w:tc>
        <w:tc>
          <w:tcPr>
            <w:tcW w:w="5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r>
      <w:tr>
        <w:trPr>
          <w:trHeight w:val="20"/>
        </w:trPr>
        <w:tc>
          <w:tcPr>
            <w:tcW w:w="2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1,455</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1,368</w:t>
            </w:r>
          </w:p>
        </w:tc>
        <w:tc>
          <w:tcPr>
            <w:tcW w:w="62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2,419</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2,426</w:t>
            </w:r>
          </w:p>
        </w:tc>
        <w:tc>
          <w:tcPr>
            <w:tcW w:w="2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—  %</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3,874</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3,794</w:t>
            </w:r>
          </w:p>
        </w:tc>
        <w:tc>
          <w:tcPr>
            <w:tcW w:w="5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w:t>
            </w: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(903)</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(824)</w:t>
            </w:r>
          </w:p>
        </w:tc>
        <w:tc>
          <w:tcPr>
            <w:tcW w:w="6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+10%</w:t>
            </w:r>
          </w:p>
        </w:tc>
        <w:tc>
          <w:tcPr>
            <w:tcW w:w="600" w:type="dxa"/>
            <w:vAlign w:val="bottom"/>
            <w:gridSpan w:val="2"/>
          </w:tcPr>
          <w:p>
            <w:pPr>
              <w:jc w:val="right"/>
              <w:ind w:right="129"/>
              <w:spacing w:after="0"/>
              <w:rPr>
                <w:sz w:val="20"/>
                <w:szCs w:val="20"/>
                <w:color w:val="auto"/>
              </w:rPr>
            </w:pPr>
            <w:r>
              <w:rPr>
                <w:rFonts w:ascii="Times New Roman" w:cs="Times New Roman" w:eastAsia="Times New Roman" w:hAnsi="Times New Roman"/>
                <w:sz w:val="13"/>
                <w:szCs w:val="13"/>
                <w:color w:val="auto"/>
              </w:rPr>
              <w:t>(1,281)</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(1,168)</w:t>
            </w:r>
          </w:p>
        </w:tc>
        <w:tc>
          <w:tcPr>
            <w:tcW w:w="6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39"/>
        </w:trPr>
        <w:tc>
          <w:tcPr>
            <w:tcW w:w="2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Technology, research and development</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64"/>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expenses</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(88)</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(88)</w:t>
            </w:r>
          </w:p>
        </w:tc>
        <w:tc>
          <w:tcPr>
            <w:tcW w:w="62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3"/>
                <w:szCs w:val="13"/>
                <w:color w:val="auto"/>
              </w:rPr>
              <w:t>(124)</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(109)</w:t>
            </w:r>
          </w:p>
        </w:tc>
        <w:tc>
          <w:tcPr>
            <w:tcW w:w="62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+14%</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(357)</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(307)</w:t>
            </w:r>
          </w:p>
        </w:tc>
        <w:tc>
          <w:tcPr>
            <w:tcW w:w="6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+16%</w:t>
            </w:r>
          </w:p>
        </w:tc>
        <w:tc>
          <w:tcPr>
            <w:tcW w:w="600" w:type="dxa"/>
            <w:vAlign w:val="bottom"/>
            <w:gridSpan w:val="2"/>
          </w:tcPr>
          <w:p>
            <w:pPr>
              <w:jc w:val="right"/>
              <w:ind w:right="129"/>
              <w:spacing w:after="0"/>
              <w:rPr>
                <w:sz w:val="20"/>
                <w:szCs w:val="20"/>
                <w:color w:val="auto"/>
              </w:rPr>
            </w:pPr>
            <w:r>
              <w:rPr>
                <w:rFonts w:ascii="Times New Roman" w:cs="Times New Roman" w:eastAsia="Times New Roman" w:hAnsi="Times New Roman"/>
                <w:sz w:val="13"/>
                <w:szCs w:val="13"/>
                <w:color w:val="auto"/>
              </w:rPr>
              <w:t>(372)</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(413)</w:t>
            </w:r>
          </w:p>
        </w:tc>
        <w:tc>
          <w:tcPr>
            <w:tcW w:w="6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(104)</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(98)</w:t>
            </w:r>
          </w:p>
        </w:tc>
        <w:tc>
          <w:tcPr>
            <w:tcW w:w="62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+6%</w:t>
            </w:r>
          </w:p>
        </w:tc>
        <w:tc>
          <w:tcPr>
            <w:tcW w:w="6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3"/>
                <w:szCs w:val="13"/>
                <w:color w:val="auto"/>
              </w:rPr>
              <w:t>(207)</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(231)</w:t>
            </w:r>
          </w:p>
        </w:tc>
        <w:tc>
          <w:tcPr>
            <w:tcW w:w="6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(10)%</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51"/>
        </w:trPr>
        <w:tc>
          <w:tcPr>
            <w:tcW w:w="2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Reportable segment adjusted EBITDA</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w:t>
            </w:r>
          </w:p>
        </w:tc>
        <w:tc>
          <w:tcPr>
            <w:tcW w:w="220" w:type="dxa"/>
            <w:vAlign w:val="bottom"/>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c>
          <w:tcPr>
            <w:tcW w:w="3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435</w:t>
            </w:r>
          </w:p>
        </w:tc>
        <w:tc>
          <w:tcPr>
            <w:tcW w:w="2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505</w:t>
            </w:r>
          </w:p>
        </w:tc>
        <w:tc>
          <w:tcPr>
            <w:tcW w:w="240" w:type="dxa"/>
            <w:vAlign w:val="bottom"/>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3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Net loss</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i w:val="1"/>
                <w:iCs w:val="1"/>
                <w:color w:val="auto"/>
              </w:rPr>
              <w:t>(1,148)</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i w:val="1"/>
                <w:iCs w:val="1"/>
                <w:color w:val="auto"/>
              </w:rPr>
              <w:t>(789)</w:t>
            </w:r>
          </w:p>
        </w:tc>
        <w:tc>
          <w:tcPr>
            <w:tcW w:w="5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i w:val="1"/>
                <w:iCs w:val="1"/>
                <w:color w:val="auto"/>
              </w:rPr>
              <w:t>+46%</w:t>
            </w:r>
          </w:p>
        </w:tc>
      </w:tr>
      <w:tr>
        <w:trPr>
          <w:trHeight w:val="152"/>
        </w:trPr>
        <w:tc>
          <w:tcPr>
            <w:tcW w:w="22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Net loss margin</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i w:val="1"/>
                <w:iCs w:val="1"/>
                <w:color w:val="auto"/>
              </w:rPr>
              <w:t>(29.6)%</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(20.8)%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i w:val="1"/>
                <w:iCs w:val="1"/>
                <w:color w:val="auto"/>
              </w:rPr>
              <w:t>(880)bps</w:t>
            </w: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Loss per share ($)</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i w:val="1"/>
                <w:iCs w:val="1"/>
                <w:color w:val="auto"/>
              </w:rPr>
              <w:t>(4.90)</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i w:val="1"/>
                <w:iCs w:val="1"/>
                <w:color w:val="auto"/>
              </w:rPr>
              <w:t>(3.91)</w:t>
            </w:r>
          </w:p>
        </w:tc>
        <w:tc>
          <w:tcPr>
            <w:tcW w:w="5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i w:val="1"/>
                <w:iCs w:val="1"/>
                <w:color w:val="auto"/>
              </w:rPr>
              <w:t>+25%</w:t>
            </w:r>
          </w:p>
        </w:tc>
      </w:tr>
      <w:tr>
        <w:trPr>
          <w:trHeight w:val="152"/>
        </w:trPr>
        <w:tc>
          <w:tcPr>
            <w:tcW w:w="222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Adjusted (loss) earnings per share ($)</w:t>
            </w:r>
            <w:r>
              <w:rPr>
                <w:rFonts w:ascii="Times New Roman" w:cs="Times New Roman" w:eastAsia="Times New Roman" w:hAnsi="Times New Roman"/>
                <w:sz w:val="17"/>
                <w:szCs w:val="17"/>
                <w:color w:val="auto"/>
                <w:vertAlign w:val="superscript"/>
              </w:rPr>
              <w:t>5</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i w:val="1"/>
                <w:iCs w:val="1"/>
                <w:color w:val="auto"/>
              </w:rPr>
              <w:t>(0.18)</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i w:val="1"/>
                <w:iCs w:val="1"/>
                <w:color w:val="auto"/>
              </w:rPr>
              <w:t>1.64</w:t>
            </w:r>
          </w:p>
        </w:tc>
        <w:tc>
          <w:tcPr>
            <w:tcW w:w="5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i w:val="1"/>
                <w:iCs w:val="1"/>
                <w:color w:val="auto"/>
              </w:rPr>
              <w:t>(111)%</w:t>
            </w:r>
          </w:p>
        </w:tc>
      </w:tr>
      <w:tr>
        <w:trPr>
          <w:trHeight w:val="152"/>
        </w:trPr>
        <w:tc>
          <w:tcPr>
            <w:tcW w:w="222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Unallocated corporate overhead</w:t>
            </w:r>
            <w:r>
              <w:rPr>
                <w:rFonts w:ascii="Times New Roman" w:cs="Times New Roman" w:eastAsia="Times New Roman" w:hAnsi="Times New Roman"/>
                <w:sz w:val="17"/>
                <w:szCs w:val="17"/>
                <w:color w:val="auto"/>
                <w:vertAlign w:val="superscript"/>
              </w:rPr>
              <w:t>12</w:t>
            </w: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(78)</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(78)</w:t>
            </w:r>
          </w:p>
        </w:tc>
        <w:tc>
          <w:tcPr>
            <w:tcW w:w="5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—  %</w:t>
            </w:r>
          </w:p>
        </w:tc>
      </w:tr>
      <w:tr>
        <w:trPr>
          <w:trHeight w:val="151"/>
        </w:trPr>
        <w:tc>
          <w:tcPr>
            <w:tcW w:w="22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Group adjusted EBITDA</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260" w:type="dxa"/>
            <w:vAlign w:val="bottom"/>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26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2"/>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Adjusted EBITDA margin</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i w:val="1"/>
                <w:iCs w:val="1"/>
                <w:color w:val="auto"/>
              </w:rPr>
              <w:t>0.2%</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3.7%</w:t>
            </w:r>
          </w:p>
        </w:tc>
        <w:tc>
          <w:tcPr>
            <w:tcW w:w="6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i w:val="1"/>
                <w:iCs w:val="1"/>
                <w:color w:val="auto"/>
              </w:rPr>
              <w:t>(350)bps</w:t>
            </w:r>
          </w:p>
        </w:tc>
        <w:tc>
          <w:tcPr>
            <w:tcW w:w="6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3"/>
                <w:szCs w:val="13"/>
                <w:i w:val="1"/>
                <w:iCs w:val="1"/>
                <w:color w:val="auto"/>
              </w:rPr>
              <w:t>18.0%</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i w:val="1"/>
                <w:iCs w:val="1"/>
                <w:color w:val="auto"/>
              </w:rPr>
              <w:t>20.8%</w:t>
            </w:r>
          </w:p>
        </w:tc>
        <w:tc>
          <w:tcPr>
            <w:tcW w:w="620" w:type="dxa"/>
            <w:vAlign w:val="bottom"/>
            <w:gridSpan w:val="2"/>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i w:val="1"/>
                <w:iCs w:val="1"/>
                <w:color w:val="auto"/>
                <w:w w:val="95"/>
              </w:rPr>
              <w:t>(280)bps</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9.3%</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i w:val="1"/>
                <w:iCs w:val="1"/>
                <w:color w:val="auto"/>
              </w:rPr>
              <w:t>12.6%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(330)bps</w:t>
            </w:r>
          </w:p>
        </w:tc>
      </w:tr>
    </w:tbl>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614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61404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b w:val="1"/>
          <w:bCs w:val="1"/>
          <w:color w:val="auto"/>
        </w:rPr>
        <w:t>Group</w:t>
      </w:r>
    </w:p>
    <w:p>
      <w:pPr>
        <w:spacing w:after="0" w:line="80"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Group revenue growth in Q3 was 2%, with sportsbook revenue growth of 1%, iGaming revenue growth of 3%, and other revenue growth of 10% year-over-year. Further detail is provided in the US and International sections below.</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net loss of $1,148m for the quarter increased by $359m (Q3 2025 loss: $789m) primarily due to:</w:t>
      </w:r>
    </w:p>
    <w:p>
      <w:pPr>
        <w:spacing w:after="0" w:line="85" w:lineRule="exact"/>
        <w:rPr>
          <w:sz w:val="20"/>
          <w:szCs w:val="20"/>
          <w:color w:val="auto"/>
        </w:rPr>
      </w:pPr>
    </w:p>
    <w:p>
      <w:pPr>
        <w:ind w:left="940" w:hanging="227"/>
        <w:spacing w:after="0"/>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non-cash impairment charge of $873m related to our operations in Brazil, </w:t>
      </w:r>
      <w:r>
        <w:rPr>
          <w:rFonts w:ascii="Times New Roman" w:cs="Times New Roman" w:eastAsia="Times New Roman" w:hAnsi="Times New Roman"/>
          <w:sz w:val="13"/>
          <w:szCs w:val="13"/>
          <w:i w:val="1"/>
          <w:iCs w:val="1"/>
          <w:color w:val="auto"/>
        </w:rPr>
        <w:t>see further detail below</w:t>
      </w:r>
    </w:p>
    <w:p>
      <w:pPr>
        <w:spacing w:after="0" w:line="89"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$105m increase in legal loss contingencies driven by a provision recognized in respect of a Class Action lawsuit in Australia</w:t>
      </w:r>
    </w:p>
    <w:p>
      <w:pPr>
        <w:spacing w:after="0" w:line="87" w:lineRule="exact"/>
        <w:rPr>
          <w:rFonts w:ascii="Times New Roman" w:cs="Times New Roman" w:eastAsia="Times New Roman" w:hAnsi="Times New Roman"/>
          <w:sz w:val="13"/>
          <w:szCs w:val="13"/>
          <w:color w:val="auto"/>
        </w:rPr>
      </w:pPr>
    </w:p>
    <w:p>
      <w:pPr>
        <w:ind w:left="940" w:right="1079" w:hanging="227"/>
        <w:spacing w:after="0" w:line="267" w:lineRule="auto"/>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Lower segment profitability, with a $48m reduction in US adjusted EBITDA to $3m (-94%) and a $70m decrease in International adjusted EBITDA to $435m (-14%), as outlined below</w:t>
      </w:r>
    </w:p>
    <w:p>
      <w:pPr>
        <w:spacing w:after="0" w:line="55" w:lineRule="exact"/>
        <w:rPr>
          <w:rFonts w:ascii="Times New Roman" w:cs="Times New Roman" w:eastAsia="Times New Roman" w:hAnsi="Times New Roman"/>
          <w:sz w:val="13"/>
          <w:szCs w:val="13"/>
          <w:color w:val="auto"/>
        </w:rPr>
      </w:pPr>
    </w:p>
    <w:p>
      <w:pPr>
        <w:ind w:left="940" w:right="879" w:hanging="227"/>
        <w:spacing w:after="0" w:line="267" w:lineRule="auto"/>
        <w:tabs>
          <w:tab w:leader="none" w:pos="9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$45m decrease in other income, net, primarily due to a $40m year-over-year foreign exchange loss (Q3 2026 loss of $13m; Q3 2025 gain of $27m)</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1260"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These factors were partly offset by benefits arising from:</w:t>
      </w:r>
    </w:p>
    <w:p>
      <w:pPr>
        <w:spacing w:after="0" w:line="87" w:lineRule="exact"/>
        <w:rPr>
          <w:sz w:val="20"/>
          <w:szCs w:val="20"/>
          <w:color w:val="auto"/>
        </w:rPr>
      </w:pPr>
    </w:p>
    <w:p>
      <w:pPr>
        <w:ind w:left="940" w:hanging="227"/>
        <w:spacing w:after="0"/>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Q3 2025 included a non-cash impairment charge of $556m relating to Junglee</w:t>
      </w:r>
      <w:r>
        <w:rPr>
          <w:rFonts w:ascii="Times New Roman" w:cs="Times New Roman" w:eastAsia="Times New Roman" w:hAnsi="Times New Roman"/>
          <w:sz w:val="18"/>
          <w:szCs w:val="18"/>
          <w:color w:val="auto"/>
          <w:vertAlign w:val="superscript"/>
        </w:rPr>
        <w:t>13</w:t>
      </w:r>
    </w:p>
    <w:p>
      <w:pPr>
        <w:spacing w:after="0" w:line="43"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Q3 2025 transaction fees and associated costs included $205m related to the revision of US market access terms with Boyd Gaming Corporation</w:t>
      </w:r>
    </w:p>
    <w:p>
      <w:pPr>
        <w:spacing w:after="0" w:line="84" w:lineRule="exact"/>
        <w:rPr>
          <w:rFonts w:ascii="Times New Roman" w:cs="Times New Roman" w:eastAsia="Times New Roman" w:hAnsi="Times New Roman"/>
          <w:sz w:val="12"/>
          <w:szCs w:val="12"/>
          <w:color w:val="auto"/>
        </w:rPr>
      </w:pPr>
    </w:p>
    <w:p>
      <w:pPr>
        <w:ind w:left="940" w:right="899" w:hanging="227"/>
        <w:spacing w:after="0" w:line="267"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$50m increase in income tax benefit to $95m (Q3 2025: $45m) driven by the higher year-over-year operating loss, and deferred tax benefits relating to the Brazil impairment and legal loss contingencies discussed above</w:t>
      </w:r>
    </w:p>
    <w:p>
      <w:pPr>
        <w:spacing w:after="0" w:line="122"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$537m of the post-tax Brazil impairment is allocated to the Group, reflecting the 56% ownership of Flutter Brazil. This led to a net loss attributable to Flutter shareholders of $862m for the quarter, and a loss attributable to non-controlling interests of $286m (Q3 2025: $99m). As a result, the loss per share of $4.90 was $0.99 higher year-over-year (Q3 2025: $3.91) and the adjusted loss per share of $0.18 compared with adjusted EPS of $1.64 in Q3 2025.</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Brazil non-cash impairment charge:</w:t>
      </w:r>
    </w:p>
    <w:p>
      <w:pPr>
        <w:spacing w:after="0" w:line="80"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The previously disclosed challenging trading environment driven by Government implemented socio-economic measures, together with the Provisional Measure issued on September 25, 2026 provisionally banning sports betting and iGaming, have resulted in Brazil revenue growth being behind expectations. Looking ahead, uncertainty remains surrounding the future operating environment. As a result, the Group has recognized total non-cash impairment charges of $873m, primarily comprising $296m related to long-lived assets and $541m related to goodwill.</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US</w:t>
      </w:r>
    </w:p>
    <w:p>
      <w:pPr>
        <w:spacing w:after="0" w:line="80" w:lineRule="exact"/>
        <w:rPr>
          <w:sz w:val="20"/>
          <w:szCs w:val="20"/>
          <w:color w:val="auto"/>
        </w:rPr>
      </w:pPr>
    </w:p>
    <w:p>
      <w:pPr>
        <w:ind w:left="640" w:right="899"/>
        <w:spacing w:after="0" w:line="255" w:lineRule="auto"/>
        <w:rPr>
          <w:sz w:val="20"/>
          <w:szCs w:val="20"/>
          <w:color w:val="auto"/>
        </w:rPr>
      </w:pPr>
      <w:r>
        <w:rPr>
          <w:rFonts w:ascii="Times New Roman" w:cs="Times New Roman" w:eastAsia="Times New Roman" w:hAnsi="Times New Roman"/>
          <w:sz w:val="13"/>
          <w:szCs w:val="13"/>
          <w:color w:val="auto"/>
        </w:rPr>
        <w:t>Revenue grew 6% year-over-year with sportsbook revenue growth of 4% and iGaming revenue growth of 8%. Other revenue grew 20%, primarily driven by our market-making activity in the quarter. AMPs grew 12% year-over-year to 3.9m (sportsbook AMPs +9%, iGaming AMPs +24%, other AMPs +19%).</w:t>
      </w:r>
    </w:p>
    <w:p>
      <w:pPr>
        <w:spacing w:after="0" w:line="130" w:lineRule="exact"/>
        <w:rPr>
          <w:sz w:val="20"/>
          <w:szCs w:val="20"/>
          <w:color w:val="auto"/>
        </w:rPr>
      </w:pPr>
    </w:p>
    <w:p>
      <w:pPr>
        <w:ind w:left="640" w:right="659"/>
        <w:spacing w:after="0" w:line="279" w:lineRule="auto"/>
        <w:rPr>
          <w:sz w:val="20"/>
          <w:szCs w:val="20"/>
          <w:color w:val="auto"/>
        </w:rPr>
      </w:pPr>
      <w:r>
        <w:rPr>
          <w:rFonts w:ascii="Times New Roman" w:cs="Times New Roman" w:eastAsia="Times New Roman" w:hAnsi="Times New Roman"/>
          <w:sz w:val="12"/>
          <w:szCs w:val="12"/>
          <w:color w:val="auto"/>
        </w:rPr>
        <w:t>Sportsbook revenue growth of 4% year-over-year driven by a strong handle performance with 13% year-over-year growth, well ahead of expectations. This was despite a headwind from sporting calendar changes year-over-year with one week less of NFL and CFB. This performance was driven by a strengthened customer proposition which included the expansion of our rewards program to all sportsbook customers and Betprotect+ expanded to NFL. New product features included improved social features such as bet-sharing, and greater personalization with our Re-Use+ and Bet it Again markets.</w:t>
      </w:r>
    </w:p>
    <w:p>
      <w:pPr>
        <w:spacing w:after="0" w:line="116" w:lineRule="exact"/>
        <w:rPr>
          <w:sz w:val="20"/>
          <w:szCs w:val="20"/>
          <w:color w:val="auto"/>
        </w:rPr>
      </w:pPr>
    </w:p>
    <w:p>
      <w:pPr>
        <w:ind w:left="640" w:right="819"/>
        <w:spacing w:after="0" w:line="255" w:lineRule="auto"/>
        <w:rPr>
          <w:sz w:val="20"/>
          <w:szCs w:val="20"/>
          <w:color w:val="auto"/>
        </w:rPr>
      </w:pPr>
      <w:r>
        <w:rPr>
          <w:rFonts w:ascii="Times New Roman" w:cs="Times New Roman" w:eastAsia="Times New Roman" w:hAnsi="Times New Roman"/>
          <w:sz w:val="13"/>
          <w:szCs w:val="13"/>
          <w:color w:val="auto"/>
        </w:rPr>
        <w:t>These product improvements ensured excellent retention of players reactivated and acquired during the World Cup, with an all-time high number of customers entering the football season. We delivered growth in player frequency (+4%) and bet count (+15%) which ensured that handle growth fully offset a 60bps decline in net revenue margin to 6.8%. Net revenue margin included:</w:t>
      </w:r>
    </w:p>
    <w:p>
      <w:pPr>
        <w:spacing w:after="0" w:line="64" w:lineRule="exact"/>
        <w:rPr>
          <w:sz w:val="20"/>
          <w:szCs w:val="20"/>
          <w:color w:val="auto"/>
        </w:rPr>
      </w:pPr>
    </w:p>
    <w:p>
      <w:pPr>
        <w:ind w:left="940" w:right="659" w:hanging="227"/>
        <w:spacing w:after="0" w:line="267" w:lineRule="auto"/>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change in structural revenue margin at 12.9% reflecting a higher proportion of MLB, which typically has a lower parlay penetration, during the quarter</w:t>
      </w:r>
    </w:p>
    <w:p>
      <w:pPr>
        <w:spacing w:after="0" w:line="55"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change in the impact of sports results year-over-year (Q3 2026: 10bps unfavorable, Q3 2025: 10bps unfavorable). The in-quarter net revenue</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impact in Q3 2026 was approximately $38m unfavorable (Q3 2025: $45m unfavorable)</w:t>
      </w:r>
    </w:p>
    <w:p>
      <w:pPr>
        <w:spacing w:after="0" w:line="74" w:lineRule="exact"/>
        <w:rPr>
          <w:rFonts w:ascii="Times New Roman" w:cs="Times New Roman" w:eastAsia="Times New Roman" w:hAnsi="Times New Roman"/>
          <w:sz w:val="12"/>
          <w:szCs w:val="12"/>
          <w:color w:val="auto"/>
        </w:rPr>
      </w:pPr>
    </w:p>
    <w:p>
      <w:pPr>
        <w:ind w:left="940" w:right="719" w:hanging="227"/>
        <w:spacing w:after="0" w:line="255" w:lineRule="auto"/>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60bps increase in promotional spend to 6.0% of handle, in-line with expectations, and reflecting our increased return of value to customers, the impact of new state launches, and investment in the FIFA World Cup. Promotional spend is expected to remain at similar levels in Q4 and for 2027, resulting in a broadly flat net revenue margin year-over-year</w:t>
      </w:r>
    </w:p>
    <w:p>
      <w:pPr>
        <w:spacing w:after="0" w:line="130" w:lineRule="exact"/>
        <w:rPr>
          <w:sz w:val="20"/>
          <w:szCs w:val="20"/>
          <w:color w:val="auto"/>
        </w:rPr>
      </w:pPr>
    </w:p>
    <w:p>
      <w:pPr>
        <w:jc w:val="both"/>
        <w:ind w:left="640" w:right="759"/>
        <w:spacing w:after="0" w:line="279" w:lineRule="auto"/>
        <w:rPr>
          <w:sz w:val="20"/>
          <w:szCs w:val="20"/>
          <w:color w:val="auto"/>
        </w:rPr>
      </w:pPr>
      <w:r>
        <w:rPr>
          <w:rFonts w:ascii="Times New Roman" w:cs="Times New Roman" w:eastAsia="Times New Roman" w:hAnsi="Times New Roman"/>
          <w:sz w:val="12"/>
          <w:szCs w:val="12"/>
          <w:color w:val="auto"/>
        </w:rPr>
        <w:t>In iGaming, exclusive new content including the launch of Huff ‘n Even More Puff Hard Hat, and content featuring Vegas Matt and Lady Luck helped deliver an increase in player frequency of 12%. These new products and features, together with our very successful launch in Alberta in July where we delivered 23% GGR share in the quarter, drove AMP growth of 24%. Revenue growth of 8% reflected a strong comparative period, which featured the launch of some of our most successful products, and the current year competitive dynamics and market moderation outlined in the shareholder letter.</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1" w:name="page12"/>
    <w:bookmarkEnd w:id="11"/>
    <w:p>
      <w:pPr>
        <w:ind w:left="64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revenue grew 20% driven by market-making activity. FanDuel Predicts revenue was not material during the quarter, however we made significant operational progress through our partnership with Crypto.com and the FanDuel One App delivering a step change in our product offering. New features launched since the start of the NFL season included a broader selection of sports markets, variable fees, sub-penny contracts and fractional contracts, alongside a superior promotions experience including our popular refer-a-friend mechanic.</w:t>
      </w:r>
    </w:p>
    <w:p>
      <w:pPr>
        <w:spacing w:after="0" w:line="133"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FanDuel Predicts had 66k AMPs in Q3 representing quarter-on-quarter growth of 39%, with volume of $119m and growth quarter-on-quarter of 102%. Our rapid scaling, driven by the accelerated product roadmap, translated to 271% volume growth in October when compared with July, demonstrating that our product improvements are resonating with customers. We are increasingly well-placed to capture the prediction markets opportunity and expect investment in this area to continue in 2027 at similar or higher levels given the early momentum we are delivering.</w:t>
      </w:r>
    </w:p>
    <w:p>
      <w:pPr>
        <w:spacing w:after="0" w:line="133" w:lineRule="exact"/>
        <w:rPr>
          <w:sz w:val="20"/>
          <w:szCs w:val="20"/>
          <w:color w:val="auto"/>
        </w:rPr>
      </w:pPr>
    </w:p>
    <w:p>
      <w:pPr>
        <w:ind w:left="640" w:right="839"/>
        <w:spacing w:after="0" w:line="255" w:lineRule="auto"/>
        <w:rPr>
          <w:sz w:val="20"/>
          <w:szCs w:val="20"/>
          <w:color w:val="auto"/>
        </w:rPr>
      </w:pPr>
      <w:r>
        <w:rPr>
          <w:rFonts w:ascii="Times New Roman" w:cs="Times New Roman" w:eastAsia="Times New Roman" w:hAnsi="Times New Roman"/>
          <w:sz w:val="13"/>
          <w:szCs w:val="13"/>
          <w:color w:val="auto"/>
        </w:rPr>
        <w:t>Cost of sales increased by 190bps as a percentage of revenue, primarily driven by the impact of increased promotional spend and higher payment processing costs. We expect the impact of higher payment processing costs to be limited to Q3, with cost of sales as a percentage of revenue for 2026 expected to be approximately 58% and remain broadly at this level for 2027.</w:t>
      </w:r>
    </w:p>
    <w:p>
      <w:pPr>
        <w:spacing w:after="0" w:line="130"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Sales and marketing expenses were 16% higher year-over-year, driven by investment in FanDuel Predicts, our launch in Alberta and investment in the FIFA World Cup in July. Technology, research and development costs were flat year-over-year with cost savings implemented in Q2 offsetting prediction market investment and increased cloud and server costs. General and administrative costs were 6% higher year-over-year, reflecting investment in regulatory affairs and prediction markets, partially offset by the benefit of cost savings implemented in Q2.</w:t>
      </w:r>
    </w:p>
    <w:p>
      <w:pPr>
        <w:spacing w:after="0" w:line="133"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Adjusted EBITDA was $3m (Q3 2025: $51m), with a reduction in adjusted EBITDA margin of 350bps year-over-year driven by the factors detailed above.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International</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22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 millions except percentages)</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gridSpan w:val="6"/>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9"/>
              </w:rPr>
              <w:t>Three months ended September 30,</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iGaming</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2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YoY</w:t>
            </w: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2"/>
              </w:rPr>
              <w:t>YoY</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Sports</w:t>
            </w:r>
          </w:p>
        </w:tc>
        <w:tc>
          <w:tcPr>
            <w:tcW w:w="5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2"/>
              </w:rPr>
              <w:t>YoY</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YoY</w:t>
            </w:r>
          </w:p>
        </w:tc>
        <w:tc>
          <w:tcPr>
            <w:tcW w:w="0" w:type="dxa"/>
            <w:vAlign w:val="bottom"/>
          </w:tcPr>
          <w:p>
            <w:pPr>
              <w:spacing w:after="0"/>
              <w:rPr>
                <w:sz w:val="1"/>
                <w:szCs w:val="1"/>
                <w:color w:val="auto"/>
              </w:rPr>
            </w:pPr>
          </w:p>
        </w:tc>
      </w:tr>
      <w:tr>
        <w:trPr>
          <w:trHeight w:val="104"/>
        </w:trPr>
        <w:tc>
          <w:tcPr>
            <w:tcW w:w="22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Unaudited</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2026</w:t>
            </w:r>
          </w:p>
        </w:tc>
        <w:tc>
          <w:tcPr>
            <w:tcW w:w="140" w:type="dxa"/>
            <w:vAlign w:val="bottom"/>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Pr>
          <w:p>
            <w:pPr>
              <w:spacing w:after="0"/>
              <w:rPr>
                <w:sz w:val="9"/>
                <w:szCs w:val="9"/>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YoY</w:t>
            </w:r>
          </w:p>
        </w:tc>
        <w:tc>
          <w:tcPr>
            <w:tcW w:w="260" w:type="dxa"/>
            <w:vAlign w:val="bottom"/>
            <w:vMerge w:val="restart"/>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YoY</w:t>
            </w:r>
          </w:p>
        </w:tc>
        <w:tc>
          <w:tcPr>
            <w:tcW w:w="260" w:type="dxa"/>
            <w:vAlign w:val="bottom"/>
            <w:vMerge w:val="restart"/>
          </w:tcPr>
          <w:p>
            <w:pPr>
              <w:spacing w:after="0"/>
              <w:rPr>
                <w:sz w:val="9"/>
                <w:szCs w:val="9"/>
                <w:color w:val="auto"/>
              </w:rPr>
            </w:pPr>
          </w:p>
        </w:tc>
        <w:tc>
          <w:tcPr>
            <w:tcW w:w="460" w:type="dxa"/>
            <w:vAlign w:val="bottom"/>
            <w:gridSpan w:val="2"/>
          </w:tcPr>
          <w:p>
            <w:pPr>
              <w:jc w:val="right"/>
              <w:ind w:right="280"/>
              <w:spacing w:after="0" w:line="104" w:lineRule="exact"/>
              <w:rPr>
                <w:sz w:val="20"/>
                <w:szCs w:val="20"/>
                <w:color w:val="auto"/>
              </w:rPr>
            </w:pPr>
            <w:r>
              <w:rPr>
                <w:rFonts w:ascii="Times New Roman" w:cs="Times New Roman" w:eastAsia="Times New Roman" w:hAnsi="Times New Roman"/>
                <w:sz w:val="10"/>
                <w:szCs w:val="10"/>
                <w:b w:val="1"/>
                <w:bCs w:val="1"/>
                <w:color w:val="auto"/>
                <w:w w:val="82"/>
              </w:rPr>
              <w:t>YoY</w:t>
            </w:r>
          </w:p>
        </w:tc>
        <w:tc>
          <w:tcPr>
            <w:tcW w:w="580" w:type="dxa"/>
            <w:vAlign w:val="bottom"/>
            <w:gridSpan w:val="2"/>
            <w:vMerge w:val="continue"/>
          </w:tcPr>
          <w:p>
            <w:pPr>
              <w:spacing w:after="0"/>
              <w:rPr>
                <w:sz w:val="9"/>
                <w:szCs w:val="9"/>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w w:val="92"/>
              </w:rPr>
              <w:t>YoY</w:t>
            </w:r>
          </w:p>
        </w:tc>
        <w:tc>
          <w:tcPr>
            <w:tcW w:w="16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0"/>
                <w:szCs w:val="10"/>
                <w:b w:val="1"/>
                <w:bCs w:val="1"/>
                <w:color w:val="auto"/>
                <w:w w:val="92"/>
              </w:rPr>
              <w:t>YoY</w:t>
            </w:r>
          </w:p>
        </w:tc>
        <w:tc>
          <w:tcPr>
            <w:tcW w:w="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CC</w:t>
            </w:r>
          </w:p>
        </w:tc>
        <w:tc>
          <w:tcPr>
            <w:tcW w:w="26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organic</w:t>
            </w:r>
            <w:r>
              <w:rPr>
                <w:rFonts w:ascii="Times New Roman" w:cs="Times New Roman" w:eastAsia="Times New Roman" w:hAnsi="Times New Roman"/>
                <w:sz w:val="7"/>
                <w:szCs w:val="7"/>
                <w:b w:val="1"/>
                <w:bCs w:val="1"/>
                <w:color w:val="auto"/>
              </w:rPr>
              <w:t>5</w:t>
            </w:r>
          </w:p>
        </w:tc>
        <w:tc>
          <w:tcPr>
            <w:tcW w:w="2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w w:val="96"/>
              </w:rPr>
              <w:t>CC</w:t>
            </w:r>
          </w:p>
        </w:tc>
        <w:tc>
          <w:tcPr>
            <w:tcW w:w="280" w:type="dxa"/>
            <w:vAlign w:val="bottom"/>
          </w:tcPr>
          <w:p>
            <w:pPr>
              <w:spacing w:after="0"/>
              <w:rPr>
                <w:sz w:val="10"/>
                <w:szCs w:val="1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organic</w:t>
            </w:r>
          </w:p>
        </w:tc>
        <w:tc>
          <w:tcPr>
            <w:tcW w:w="2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CC</w:t>
            </w:r>
          </w:p>
        </w:tc>
        <w:tc>
          <w:tcPr>
            <w:tcW w:w="24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2"/>
              </w:rPr>
              <w:t>organic</w:t>
            </w:r>
          </w:p>
        </w:tc>
        <w:tc>
          <w:tcPr>
            <w:tcW w:w="0" w:type="dxa"/>
            <w:vAlign w:val="bottom"/>
          </w:tcPr>
          <w:p>
            <w:pPr>
              <w:spacing w:after="0"/>
              <w:rPr>
                <w:sz w:val="1"/>
                <w:szCs w:val="1"/>
                <w:color w:val="auto"/>
              </w:rPr>
            </w:pPr>
          </w:p>
        </w:tc>
      </w:tr>
      <w:tr>
        <w:trPr>
          <w:trHeight w:val="20"/>
        </w:trPr>
        <w:tc>
          <w:tcPr>
            <w:tcW w:w="2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UK and Ireland</w:t>
            </w:r>
          </w:p>
        </w:tc>
        <w:tc>
          <w:tcPr>
            <w:tcW w:w="3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26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889</w:t>
            </w:r>
          </w:p>
        </w:tc>
        <w:tc>
          <w:tcPr>
            <w:tcW w:w="14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853</w:t>
            </w:r>
          </w:p>
        </w:tc>
        <w:tc>
          <w:tcPr>
            <w:tcW w:w="140" w:type="dxa"/>
            <w:vAlign w:val="bottom"/>
            <w:vMerge w:val="continue"/>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3"/>
                <w:szCs w:val="13"/>
                <w:color w:val="auto"/>
              </w:rPr>
              <w:t>+4%</w:t>
            </w:r>
          </w:p>
        </w:tc>
        <w:tc>
          <w:tcPr>
            <w:tcW w:w="500" w:type="dxa"/>
            <w:vAlign w:val="bottom"/>
            <w:tcBorders>
              <w:right w:val="single" w:sz="8" w:color="CCEEFF"/>
            </w:tcBorders>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3"/>
                <w:szCs w:val="13"/>
                <w:color w:val="auto"/>
              </w:rPr>
              <w:t>+4%</w:t>
            </w:r>
          </w:p>
        </w:tc>
        <w:tc>
          <w:tcPr>
            <w:tcW w:w="6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3"/>
                <w:szCs w:val="13"/>
                <w:color w:val="auto"/>
              </w:rPr>
              <w:t>+4%</w:t>
            </w:r>
          </w:p>
        </w:tc>
        <w:tc>
          <w:tcPr>
            <w:tcW w:w="46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3"/>
                <w:szCs w:val="13"/>
                <w:color w:val="auto"/>
              </w:rPr>
              <w:t>(6)%</w:t>
            </w:r>
          </w:p>
        </w:tc>
        <w:tc>
          <w:tcPr>
            <w:tcW w:w="46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3"/>
                <w:szCs w:val="13"/>
                <w:color w:val="auto"/>
              </w:rPr>
              <w:t>(6)%</w:t>
            </w:r>
          </w:p>
        </w:tc>
        <w:tc>
          <w:tcPr>
            <w:tcW w:w="5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3"/>
                <w:szCs w:val="13"/>
                <w:color w:val="auto"/>
              </w:rPr>
              <w:t>(6)%</w:t>
            </w:r>
          </w:p>
        </w:tc>
        <w:tc>
          <w:tcPr>
            <w:tcW w:w="40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vMerge w:val="continue"/>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3"/>
                <w:szCs w:val="13"/>
                <w:color w:val="auto"/>
              </w:rPr>
              <w:t>+12%</w:t>
            </w:r>
          </w:p>
        </w:tc>
        <w:tc>
          <w:tcPr>
            <w:tcW w:w="48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2"/>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Southern Europe and Africa</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836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743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2"/>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Asia Pacific</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349</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363</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w:t>
            </w: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Central and Eastern Europe</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166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Brazil</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60</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87</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w:t>
            </w: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(35)%</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Other regions</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119</w:t>
            </w: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4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2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2"/>
                <w:szCs w:val="12"/>
                <w:color w:val="auto"/>
              </w:rPr>
              <w:t>International revenue</w:t>
            </w:r>
            <w:r>
              <w:rPr>
                <w:rFonts w:ascii="Times New Roman" w:cs="Times New Roman" w:eastAsia="Times New Roman" w:hAnsi="Times New Roman"/>
                <w:sz w:val="17"/>
                <w:szCs w:val="17"/>
                <w:color w:val="auto"/>
                <w:vertAlign w:val="superscript"/>
              </w:rPr>
              <w:t>14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2,419</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2,426</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5"/>
              </w:rPr>
              <w:t>—  %</w:t>
            </w:r>
          </w:p>
        </w:tc>
        <w:tc>
          <w:tcPr>
            <w:tcW w:w="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 adjusted EBITDA</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435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40" w:right="1119"/>
        <w:spacing w:after="0" w:line="270" w:lineRule="auto"/>
        <w:rPr>
          <w:sz w:val="20"/>
          <w:szCs w:val="20"/>
          <w:color w:val="auto"/>
        </w:rPr>
      </w:pPr>
      <w:r>
        <w:rPr>
          <w:rFonts w:ascii="Times New Roman" w:cs="Times New Roman" w:eastAsia="Times New Roman" w:hAnsi="Times New Roman"/>
          <w:sz w:val="13"/>
          <w:szCs w:val="13"/>
          <w:i w:val="1"/>
          <w:iCs w:val="1"/>
          <w:color w:val="auto"/>
        </w:rPr>
        <w:t>See “Definitions and reconciliations of non-GAAP financial measures - Constant currency and organic revenue reconciliation” below for more information</w:t>
      </w:r>
    </w:p>
    <w:p>
      <w:pPr>
        <w:spacing w:after="0" w:line="121" w:lineRule="exact"/>
        <w:rPr>
          <w:sz w:val="20"/>
          <w:szCs w:val="20"/>
          <w:color w:val="auto"/>
        </w:rPr>
      </w:pPr>
    </w:p>
    <w:p>
      <w:pPr>
        <w:ind w:left="640" w:right="919"/>
        <w:spacing w:after="0" w:line="267" w:lineRule="auto"/>
        <w:rPr>
          <w:sz w:val="20"/>
          <w:szCs w:val="20"/>
          <w:color w:val="auto"/>
        </w:rPr>
      </w:pPr>
      <w:r>
        <w:rPr>
          <w:rFonts w:ascii="Times New Roman" w:cs="Times New Roman" w:eastAsia="Times New Roman" w:hAnsi="Times New Roman"/>
          <w:sz w:val="13"/>
          <w:szCs w:val="13"/>
          <w:color w:val="auto"/>
        </w:rPr>
        <w:t>International revenue growth was flat year-over-year reflecting continued strong momentum in UKI and SEA, offset by adverse sports results and a challenging trading environment in Brazil.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2" w:name="page13"/>
    <w:bookmarkEnd w:id="12"/>
    <w:p>
      <w:pPr>
        <w:ind w:left="640" w:right="67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AMPs were 8% lower year-over-year with strong growth in SEA (+21%) and UKI (+12%) offset by a 12 percentage-point impact from the India market exit in August 2025.</w:t>
      </w:r>
    </w:p>
    <w:p>
      <w:pPr>
        <w:spacing w:after="0" w:line="122" w:lineRule="exact"/>
        <w:rPr>
          <w:sz w:val="20"/>
          <w:szCs w:val="20"/>
          <w:color w:val="auto"/>
        </w:rPr>
      </w:pPr>
    </w:p>
    <w:p>
      <w:pPr>
        <w:ind w:left="640" w:right="659"/>
        <w:spacing w:after="0" w:line="212" w:lineRule="auto"/>
        <w:rPr>
          <w:sz w:val="20"/>
          <w:szCs w:val="20"/>
          <w:color w:val="auto"/>
        </w:rPr>
      </w:pPr>
      <w:r>
        <w:rPr>
          <w:rFonts w:ascii="Times New Roman" w:cs="Times New Roman" w:eastAsia="Times New Roman" w:hAnsi="Times New Roman"/>
          <w:sz w:val="13"/>
          <w:szCs w:val="13"/>
          <w:color w:val="auto"/>
        </w:rPr>
        <w:t>Sportsbook revenue declined 2% (-4% CC</w:t>
      </w:r>
      <w:r>
        <w:rPr>
          <w:rFonts w:ascii="Times New Roman" w:cs="Times New Roman" w:eastAsia="Times New Roman" w:hAnsi="Times New Roman"/>
          <w:sz w:val="18"/>
          <w:szCs w:val="18"/>
          <w:color w:val="auto"/>
          <w:vertAlign w:val="superscript"/>
        </w:rPr>
        <w:t>15</w:t>
      </w:r>
      <w:r>
        <w:rPr>
          <w:rFonts w:ascii="Times New Roman" w:cs="Times New Roman" w:eastAsia="Times New Roman" w:hAnsi="Times New Roman"/>
          <w:sz w:val="13"/>
          <w:szCs w:val="13"/>
          <w:color w:val="auto"/>
        </w:rPr>
        <w:t>) year-over-year, with handle growth of 8% (+6% CC), offset by adverse sports results, most notably in UKI and SEA. Sportsbook net revenue margin decreased by 120bps to 11.2% and included:</w:t>
      </w:r>
    </w:p>
    <w:p>
      <w:pPr>
        <w:spacing w:after="0" w:line="74" w:lineRule="exact"/>
        <w:rPr>
          <w:sz w:val="20"/>
          <w:szCs w:val="20"/>
          <w:color w:val="auto"/>
        </w:rPr>
      </w:pPr>
    </w:p>
    <w:p>
      <w:pPr>
        <w:ind w:left="940" w:right="799" w:hanging="227"/>
        <w:spacing w:after="0" w:line="267"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20bps increase in structural revenue margin to 16.5%, with a favorable sports mix and bet mix in UKI and SEA, partially offset by an adverse sports mix in APAC</w:t>
      </w:r>
    </w:p>
    <w:p>
      <w:pPr>
        <w:spacing w:after="0" w:line="55" w:lineRule="exact"/>
        <w:rPr>
          <w:rFonts w:ascii="Times New Roman" w:cs="Times New Roman" w:eastAsia="Times New Roman" w:hAnsi="Times New Roman"/>
          <w:sz w:val="13"/>
          <w:szCs w:val="13"/>
          <w:color w:val="auto"/>
        </w:rPr>
      </w:pPr>
    </w:p>
    <w:p>
      <w:pPr>
        <w:ind w:left="940" w:right="699" w:hanging="227"/>
        <w:spacing w:after="0" w:line="255"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sports results impact year-over-year of 130bps (Q3 2026: 150bps unfavorable, Q3 2025: 20bps unfavorable), driven by customer friendly results during the start of the soccer season in UKI and SEA. At a revenue level, this translated to an in-quarter impact in Q3 2026 of approximately $131m</w:t>
      </w:r>
    </w:p>
    <w:p>
      <w:pPr>
        <w:spacing w:after="0" w:line="63"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10 bps increase in promotional spend to 3.8% driven by FIFA World Cup investment</w:t>
      </w:r>
    </w:p>
    <w:p>
      <w:pPr>
        <w:spacing w:after="0" w:line="154"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iGaming revenue was 1% higher year-over-year, reflecting the India market exit. Organic iGaming revenue grew 3%, with double-digit growth in SEA and UKI offset by a decline in Brazil.</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International regional year-over-year revenue performance during Q3 was as follows:</w:t>
      </w:r>
    </w:p>
    <w:p>
      <w:pPr>
        <w:spacing w:after="0" w:line="85" w:lineRule="exact"/>
        <w:rPr>
          <w:sz w:val="20"/>
          <w:szCs w:val="20"/>
          <w:color w:val="auto"/>
        </w:rPr>
      </w:pPr>
    </w:p>
    <w:p>
      <w:pPr>
        <w:ind w:left="940" w:right="699" w:hanging="227"/>
        <w:spacing w:after="0" w:line="252" w:lineRule="auto"/>
        <w:tabs>
          <w:tab w:leader="none" w:pos="9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UKI </w:t>
      </w:r>
      <w:r>
        <w:rPr>
          <w:rFonts w:ascii="Times New Roman" w:cs="Times New Roman" w:eastAsia="Times New Roman" w:hAnsi="Times New Roman"/>
          <w:sz w:val="13"/>
          <w:szCs w:val="13"/>
          <w:color w:val="auto"/>
        </w:rPr>
        <w:t>revenue increased 4%. iGaming revenue grew 12% driven by a 20% increase in AMPs reflecting a highly effective cross-sell strategy during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World Cup, together with new product releases including The Big Drop jackpot. Sportsbook revenue declined 6%, with strong engagement following the FIFA World Cup and the start of the new soccer season delivering a 5% increase in handle, offset by an adverse swing in sports results of 210bps.</w:t>
      </w:r>
    </w:p>
    <w:p>
      <w:pPr>
        <w:spacing w:after="0" w:line="63" w:lineRule="exact"/>
        <w:rPr>
          <w:rFonts w:ascii="Times New Roman" w:cs="Times New Roman" w:eastAsia="Times New Roman" w:hAnsi="Times New Roman"/>
          <w:sz w:val="13"/>
          <w:szCs w:val="13"/>
          <w:color w:val="auto"/>
        </w:rPr>
      </w:pPr>
    </w:p>
    <w:p>
      <w:pPr>
        <w:jc w:val="both"/>
        <w:ind w:left="940" w:right="739" w:hanging="227"/>
        <w:spacing w:after="0" w:line="252" w:lineRule="auto"/>
        <w:tabs>
          <w:tab w:leader="none" w:pos="9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SEA </w:t>
      </w:r>
      <w:r>
        <w:rPr>
          <w:rFonts w:ascii="Times New Roman" w:cs="Times New Roman" w:eastAsia="Times New Roman" w:hAnsi="Times New Roman"/>
          <w:sz w:val="13"/>
          <w:szCs w:val="13"/>
          <w:color w:val="auto"/>
        </w:rPr>
        <w:t>revenue increased 13%, reflecting iGaming growth of 17%, driven by strong operational execution in Italy, an expanded product offering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Türkiye and a 7-percentage point growth benefit from PokerStars’ customer migrations. Strong FIFA World Cup momentum and further product enhancements including expanding the number of </w:t>
      </w:r>
      <w:r>
        <w:rPr>
          <w:rFonts w:ascii="Times New Roman" w:cs="Times New Roman" w:eastAsia="Times New Roman" w:hAnsi="Times New Roman"/>
          <w:sz w:val="13"/>
          <w:szCs w:val="13"/>
          <w:i w:val="1"/>
          <w:iCs w:val="1"/>
          <w:color w:val="auto"/>
        </w:rPr>
        <w:t>MyCombo</w:t>
      </w:r>
      <w:r>
        <w:rPr>
          <w:rFonts w:ascii="Times New Roman" w:cs="Times New Roman" w:eastAsia="Times New Roman" w:hAnsi="Times New Roman"/>
          <w:sz w:val="13"/>
          <w:szCs w:val="13"/>
          <w:color w:val="auto"/>
        </w:rPr>
        <w:t xml:space="preserve"> markets during the start of the new soccer season, delivered handle growth of 14%. This was offset by an adverse swing in sports results of 160bps, resulting in sportsbook revenue growth of 3%.</w:t>
      </w:r>
    </w:p>
    <w:p>
      <w:pPr>
        <w:spacing w:after="0" w:line="63" w:lineRule="exact"/>
        <w:rPr>
          <w:rFonts w:ascii="Times New Roman" w:cs="Times New Roman" w:eastAsia="Times New Roman" w:hAnsi="Times New Roman"/>
          <w:sz w:val="13"/>
          <w:szCs w:val="13"/>
          <w:color w:val="auto"/>
        </w:rPr>
      </w:pPr>
    </w:p>
    <w:p>
      <w:pPr>
        <w:ind w:left="940" w:right="759" w:hanging="227"/>
        <w:spacing w:after="0" w:line="257" w:lineRule="auto"/>
        <w:tabs>
          <w:tab w:leader="none" w:pos="9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APAC </w:t>
      </w:r>
      <w:r>
        <w:rPr>
          <w:rFonts w:ascii="Times New Roman" w:cs="Times New Roman" w:eastAsia="Times New Roman" w:hAnsi="Times New Roman"/>
          <w:sz w:val="13"/>
          <w:szCs w:val="13"/>
          <w:color w:val="auto"/>
        </w:rPr>
        <w:t>revenue declined 4% (-10% CC), reflecting the closure of the real money gaming market in India. APAC organic revenue (Sportsbet)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declined 4%, with good levels of engagement during the FIFA World Cup and closing rounds of the AFL driving handle growth of 5%, offset by an adverse swing in sports results of 60bps and an adverse sports mix.</w:t>
      </w:r>
    </w:p>
    <w:p>
      <w:pPr>
        <w:spacing w:after="0" w:line="59" w:lineRule="exact"/>
        <w:rPr>
          <w:rFonts w:ascii="Times New Roman" w:cs="Times New Roman" w:eastAsia="Times New Roman" w:hAnsi="Times New Roman"/>
          <w:sz w:val="13"/>
          <w:szCs w:val="13"/>
          <w:color w:val="auto"/>
        </w:rPr>
      </w:pPr>
    </w:p>
    <w:p>
      <w:pPr>
        <w:ind w:left="940" w:right="899" w:hanging="227"/>
        <w:spacing w:after="0" w:line="257" w:lineRule="auto"/>
        <w:tabs>
          <w:tab w:leader="none" w:pos="9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CEE </w:t>
      </w:r>
      <w:r>
        <w:rPr>
          <w:rFonts w:ascii="Times New Roman" w:cs="Times New Roman" w:eastAsia="Times New Roman" w:hAnsi="Times New Roman"/>
          <w:sz w:val="13"/>
          <w:szCs w:val="13"/>
          <w:color w:val="auto"/>
        </w:rPr>
        <w:t>revenue grew 10%. iGaming growth of 9% reflects our continued outperformance resulting in market share gains in Georgia, Serbia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Armenia. Sportsbook revenue grew 14% reflecting strong engagement during the FIFA World Cup. We also completed the next phase of migrations onto our shared CEE technology platform, marking further progress towards unlocking a more agile operating model.</w:t>
      </w:r>
    </w:p>
    <w:p>
      <w:pPr>
        <w:spacing w:after="0" w:line="59" w:lineRule="exact"/>
        <w:rPr>
          <w:rFonts w:ascii="Times New Roman" w:cs="Times New Roman" w:eastAsia="Times New Roman" w:hAnsi="Times New Roman"/>
          <w:sz w:val="13"/>
          <w:szCs w:val="13"/>
          <w:color w:val="auto"/>
        </w:rPr>
      </w:pPr>
    </w:p>
    <w:p>
      <w:pPr>
        <w:ind w:left="940" w:right="679" w:hanging="227"/>
        <w:spacing w:after="0" w:line="280" w:lineRule="auto"/>
        <w:tabs>
          <w:tab w:leader="none" w:pos="9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Brazil </w:t>
      </w:r>
      <w:r>
        <w:rPr>
          <w:rFonts w:ascii="Times New Roman" w:cs="Times New Roman" w:eastAsia="Times New Roman" w:hAnsi="Times New Roman"/>
          <w:sz w:val="12"/>
          <w:szCs w:val="12"/>
          <w:color w:val="auto"/>
        </w:rPr>
        <w:t>revenue declined 31% (-35% CC), impacted by the socio-economic measures implemented earlier this year and an adverse swing in sports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results, offsetting the benefit of product enhancements across sportsbook and iGaming made in the quarter. We closed our operations on September 26, 2026 in accordance with the implementation of the Provisional Measure banning online betting and gaming. We are monitoring the regulatory environment closely and are ready to resume our operations once we have clarity on the future regulatory framework.</w:t>
      </w:r>
    </w:p>
    <w:p>
      <w:pPr>
        <w:spacing w:after="0" w:line="47" w:lineRule="exact"/>
        <w:rPr>
          <w:rFonts w:ascii="Times New Roman" w:cs="Times New Roman" w:eastAsia="Times New Roman" w:hAnsi="Times New Roman"/>
          <w:sz w:val="12"/>
          <w:szCs w:val="12"/>
          <w:color w:val="auto"/>
        </w:rPr>
      </w:pPr>
    </w:p>
    <w:p>
      <w:pPr>
        <w:ind w:left="940" w:right="699" w:hanging="227"/>
        <w:spacing w:after="0" w:line="257" w:lineRule="auto"/>
        <w:tabs>
          <w:tab w:leader="none" w:pos="9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Other regions </w:t>
      </w:r>
      <w:r>
        <w:rPr>
          <w:rFonts w:ascii="Times New Roman" w:cs="Times New Roman" w:eastAsia="Times New Roman" w:hAnsi="Times New Roman"/>
          <w:sz w:val="13"/>
          <w:szCs w:val="13"/>
          <w:color w:val="auto"/>
        </w:rPr>
        <w:t>revenue was 48% lower, primarily due to a 21 percentage point growth impact from the transfer of PokerStars’ Southern European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North American customers to the SEA region and US, respectively, in addition to an overall reduction in activity on the PokerStars global platform.</w:t>
      </w:r>
    </w:p>
    <w:p>
      <w:pPr>
        <w:spacing w:after="0" w:line="128"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Adjusted EBITDA decreased by 14% year-over-year to $435m as a result of the revenue performance detailed above and a 280bps reduction in adjusted EBITDA margin to 18.0%. The reduction in margin was primarily driven by the increase in UK remote gaming duty from 21% to 40%, partially offset by the UK tax mitigation savings, and cost actions in Brazil.</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Cost of sales as a percentage of revenue increased by 490bps to 53%, driven by the increase in UK remote gaming duty.</w:t>
      </w:r>
    </w:p>
    <w:p>
      <w:pPr>
        <w:spacing w:after="0" w:line="154"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Sales and marketing expenses decreased by 10% year-over-year reflecting lower spend in Brazil in response to the challenging trading environment. As a percentage of revenue, sales and marketing decreased by 160bps to 15.4%.</w:t>
      </w:r>
    </w:p>
    <w:p>
      <w:pPr>
        <w:spacing w:after="0" w:line="122"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Technology, research and development costs were 14% higher year-over-year driven by platform support costs relating to the PokerStars transformation program and AI software development. General and administrative costs were 10% lower reflecting savings from the UKI and PokerStars transformation programs and the India exit.</w:t>
      </w:r>
    </w:p>
    <w:p>
      <w:pPr>
        <w:spacing w:after="0" w:line="1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Unallocated corporate overhead </w:t>
      </w:r>
      <w:r>
        <w:rPr>
          <w:rFonts w:ascii="Times New Roman" w:cs="Times New Roman" w:eastAsia="Times New Roman" w:hAnsi="Times New Roman"/>
          <w:sz w:val="13"/>
          <w:szCs w:val="13"/>
          <w:color w:val="auto"/>
        </w:rPr>
        <w:t>was flat year-over-year (-2% CC).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Cashflow and capital structure</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115"/>
        </w:trPr>
        <w:tc>
          <w:tcPr>
            <w:tcW w:w="17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In $ millions except where stated otherwise</w:t>
            </w:r>
          </w:p>
        </w:tc>
        <w:tc>
          <w:tcPr>
            <w:tcW w:w="2660" w:type="dxa"/>
            <w:vAlign w:val="bottom"/>
            <w:vMerge w:val="restart"/>
          </w:tcPr>
          <w:p>
            <w:pPr>
              <w:spacing w:after="0"/>
              <w:rPr>
                <w:sz w:val="10"/>
                <w:szCs w:val="10"/>
                <w:color w:val="auto"/>
              </w:rPr>
            </w:pPr>
          </w:p>
        </w:tc>
        <w:tc>
          <w:tcPr>
            <w:tcW w:w="2080" w:type="dxa"/>
            <w:vAlign w:val="bottom"/>
            <w:gridSpan w:val="6"/>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0" w:type="dxa"/>
            <w:vAlign w:val="bottom"/>
          </w:tcPr>
          <w:p>
            <w:pPr>
              <w:spacing w:after="0"/>
              <w:rPr>
                <w:sz w:val="1"/>
                <w:szCs w:val="1"/>
                <w:color w:val="auto"/>
              </w:rPr>
            </w:pPr>
          </w:p>
        </w:tc>
      </w:tr>
      <w:tr>
        <w:trPr>
          <w:trHeight w:val="116"/>
        </w:trPr>
        <w:tc>
          <w:tcPr>
            <w:tcW w:w="1760" w:type="dxa"/>
            <w:vAlign w:val="bottom"/>
            <w:tcBorders>
              <w:bottom w:val="single" w:sz="8" w:color="auto"/>
            </w:tcBorders>
            <w:vMerge w:val="continue"/>
          </w:tcPr>
          <w:p>
            <w:pPr>
              <w:spacing w:after="0"/>
              <w:rPr>
                <w:sz w:val="9"/>
                <w:szCs w:val="9"/>
                <w:color w:val="auto"/>
              </w:rPr>
            </w:pPr>
          </w:p>
        </w:tc>
        <w:tc>
          <w:tcPr>
            <w:tcW w:w="2660" w:type="dxa"/>
            <w:vAlign w:val="bottom"/>
            <w:vMerge w:val="continue"/>
          </w:tcPr>
          <w:p>
            <w:pPr>
              <w:spacing w:after="0"/>
              <w:rPr>
                <w:sz w:val="9"/>
                <w:szCs w:val="9"/>
                <w:color w:val="auto"/>
              </w:rPr>
            </w:pPr>
          </w:p>
        </w:tc>
        <w:tc>
          <w:tcPr>
            <w:tcW w:w="380" w:type="dxa"/>
            <w:vAlign w:val="bottom"/>
          </w:tcPr>
          <w:p>
            <w:pPr>
              <w:jc w:val="right"/>
              <w:ind w:right="41"/>
              <w:spacing w:after="0" w:line="112" w:lineRule="exact"/>
              <w:rPr>
                <w:sz w:val="20"/>
                <w:szCs w:val="20"/>
                <w:color w:val="auto"/>
              </w:rPr>
            </w:pPr>
            <w:r>
              <w:rPr>
                <w:rFonts w:ascii="Times New Roman" w:cs="Times New Roman" w:eastAsia="Times New Roman" w:hAnsi="Times New Roman"/>
                <w:sz w:val="10"/>
                <w:szCs w:val="10"/>
                <w:b w:val="1"/>
                <w:bCs w:val="1"/>
                <w:color w:val="auto"/>
              </w:rPr>
              <w:t>2026</w:t>
            </w:r>
          </w:p>
        </w:tc>
        <w:tc>
          <w:tcPr>
            <w:tcW w:w="380" w:type="dxa"/>
            <w:vAlign w:val="bottom"/>
          </w:tcPr>
          <w:p>
            <w:pPr>
              <w:spacing w:after="0"/>
              <w:rPr>
                <w:sz w:val="9"/>
                <w:szCs w:val="9"/>
                <w:color w:val="auto"/>
              </w:rPr>
            </w:pPr>
          </w:p>
        </w:tc>
        <w:tc>
          <w:tcPr>
            <w:tcW w:w="380" w:type="dxa"/>
            <w:vAlign w:val="bottom"/>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2025</w:t>
            </w:r>
          </w:p>
        </w:tc>
        <w:tc>
          <w:tcPr>
            <w:tcW w:w="400" w:type="dxa"/>
            <w:vAlign w:val="bottom"/>
          </w:tcPr>
          <w:p>
            <w:pPr>
              <w:spacing w:after="0"/>
              <w:rPr>
                <w:sz w:val="9"/>
                <w:szCs w:val="9"/>
                <w:color w:val="auto"/>
              </w:rPr>
            </w:pPr>
          </w:p>
        </w:tc>
        <w:tc>
          <w:tcPr>
            <w:tcW w:w="540" w:type="dxa"/>
            <w:vAlign w:val="bottom"/>
            <w:gridSpan w:val="2"/>
          </w:tcPr>
          <w:p>
            <w:pPr>
              <w:jc w:val="right"/>
              <w:ind w:right="280"/>
              <w:spacing w:after="0" w:line="112" w:lineRule="exact"/>
              <w:rPr>
                <w:sz w:val="20"/>
                <w:szCs w:val="20"/>
                <w:color w:val="auto"/>
              </w:rPr>
            </w:pPr>
            <w:r>
              <w:rPr>
                <w:rFonts w:ascii="Times New Roman" w:cs="Times New Roman" w:eastAsia="Times New Roman" w:hAnsi="Times New Roman"/>
                <w:sz w:val="10"/>
                <w:szCs w:val="10"/>
                <w:color w:val="auto"/>
              </w:rPr>
              <w:t>YoY</w:t>
            </w:r>
          </w:p>
        </w:tc>
        <w:tc>
          <w:tcPr>
            <w:tcW w:w="0" w:type="dxa"/>
            <w:vAlign w:val="bottom"/>
          </w:tcPr>
          <w:p>
            <w:pPr>
              <w:spacing w:after="0"/>
              <w:rPr>
                <w:sz w:val="1"/>
                <w:szCs w:val="1"/>
                <w:color w:val="auto"/>
              </w:rPr>
            </w:pPr>
          </w:p>
        </w:tc>
      </w:tr>
      <w:tr>
        <w:trPr>
          <w:trHeight w:val="20"/>
        </w:trPr>
        <w:tc>
          <w:tcPr>
            <w:tcW w:w="4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420" w:type="dxa"/>
            <w:vAlign w:val="bottom"/>
            <w:gridSpan w:val="2"/>
            <w:vMerge w:val="continue"/>
            <w:shd w:val="clear" w:color="auto" w:fill="CCEEFF"/>
          </w:tcPr>
          <w:p>
            <w:pPr>
              <w:spacing w:after="0"/>
              <w:rPr>
                <w:sz w:val="11"/>
                <w:szCs w:val="11"/>
                <w:color w:val="auto"/>
              </w:rPr>
            </w:pPr>
          </w:p>
        </w:tc>
        <w:tc>
          <w:tcPr>
            <w:tcW w:w="3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211</w:t>
            </w:r>
          </w:p>
        </w:tc>
        <w:tc>
          <w:tcPr>
            <w:tcW w:w="380" w:type="dxa"/>
            <w:vAlign w:val="bottom"/>
            <w:vMerge w:val="continue"/>
            <w:shd w:val="clear" w:color="auto" w:fill="CCEEFF"/>
          </w:tcPr>
          <w:p>
            <w:pPr>
              <w:spacing w:after="0"/>
              <w:rPr>
                <w:sz w:val="11"/>
                <w:szCs w:val="11"/>
                <w:color w:val="auto"/>
              </w:rPr>
            </w:pPr>
          </w:p>
        </w:tc>
        <w:tc>
          <w:tcPr>
            <w:tcW w:w="3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209</w:t>
            </w:r>
          </w:p>
        </w:tc>
        <w:tc>
          <w:tcPr>
            <w:tcW w:w="400" w:type="dxa"/>
            <w:vAlign w:val="bottom"/>
            <w:vMerge w:val="continue"/>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2"/>
        </w:trPr>
        <w:tc>
          <w:tcPr>
            <w:tcW w:w="4420" w:type="dxa"/>
            <w:vAlign w:val="bottom"/>
            <w:gridSpan w:val="2"/>
          </w:tcPr>
          <w:p>
            <w:pPr>
              <w:spacing w:after="0" w:line="152" w:lineRule="exact"/>
              <w:rPr>
                <w:sz w:val="20"/>
                <w:szCs w:val="20"/>
                <w:color w:val="auto"/>
              </w:rPr>
            </w:pPr>
            <w:r>
              <w:rPr>
                <w:rFonts w:ascii="Times New Roman" w:cs="Times New Roman" w:eastAsia="Times New Roman" w:hAnsi="Times New Roman"/>
                <w:sz w:val="12"/>
                <w:szCs w:val="12"/>
                <w:color w:val="auto"/>
              </w:rPr>
              <w:t>Free cash flow</w:t>
            </w:r>
            <w:r>
              <w:rPr>
                <w:rFonts w:ascii="Times New Roman" w:cs="Times New Roman" w:eastAsia="Times New Roman" w:hAnsi="Times New Roman"/>
                <w:sz w:val="17"/>
                <w:szCs w:val="17"/>
                <w:color w:val="auto"/>
                <w:vertAlign w:val="superscript"/>
              </w:rPr>
              <w:t>5</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w:t>
            </w:r>
          </w:p>
        </w:tc>
        <w:tc>
          <w:tcPr>
            <w:tcW w:w="3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4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52"/>
        </w:trPr>
        <w:tc>
          <w:tcPr>
            <w:tcW w:w="442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Free cash flow including financing capex and excluding player funds</w:t>
            </w:r>
            <w:r>
              <w:rPr>
                <w:rFonts w:ascii="Times New Roman" w:cs="Times New Roman" w:eastAsia="Times New Roman" w:hAnsi="Times New Roman"/>
                <w:sz w:val="17"/>
                <w:szCs w:val="17"/>
                <w:color w:val="auto"/>
                <w:vertAlign w:val="superscript"/>
              </w:rPr>
              <w:t>5</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(91)</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(117)</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49"/>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Leverage ratio</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xml:space="preserve"> (December 2025 3.7x)</w:t>
            </w: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4.6x</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The Group’s net cash provided by operating activities increased by $2m, or 1% higher year-over-year, with the Group performance outlined above offset by a positive movement in working capital. Free cash flow including financing capex and excluding player funds improved by 22% year-over-year as a result of the movements outlined above after removing the year-over-year movement in player funds.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Available cash decreased $120m year-over-year, closing at approximately $1.7bn. The change in total debt from $12,266m at December 31, 2025, to</w:t>
      </w:r>
    </w:p>
    <w:p>
      <w:pPr>
        <w:spacing w:after="0" w:line="27"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$12,313m at September 30, 2026 reflects drawings of our revolving credit facility. Net debt was $10,656m at the end of Q3, with a leverage ratio of 4.6x (3.7x at December 31, 2025).</w:t>
      </w:r>
    </w:p>
    <w:p>
      <w:pPr>
        <w:spacing w:after="0" w:line="136"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We announced today that we have successfully completed the refinancing of our existing Revolving Credit Facility and Term Loan A facilities, increasing the overall facility size by approximately $240m and extending the maturity date from November 2028 to May 2032. The transaction further strengthens our debt maturity profile and provides us with further financial flexibility.</w:t>
      </w:r>
    </w:p>
    <w:p>
      <w:pPr>
        <w:spacing w:after="0" w:line="130"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We are committed to returning within our target leverage range of 2.0 - 2.5x over the medium-term consistent with our stated policy. Our immediate capital allocation priorities are to deleverage the balance sheet, while still investing in those organic growth opportunities which will deliver attractive, long-term returns. While we focus on the delivery of these capital allocation priorities, we have paused the existing share repurchase program for the foreseeable future.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2026 Guidance</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Early Q4 trading has been in line with expectations on an underlying basis, with unfavorable sports results in both the US and International. Our updated outlook for 2026 now includes the following:</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Group: </w:t>
      </w:r>
      <w:r>
        <w:rPr>
          <w:rFonts w:ascii="Times New Roman" w:cs="Times New Roman" w:eastAsia="Times New Roman" w:hAnsi="Times New Roman"/>
          <w:sz w:val="13"/>
          <w:szCs w:val="13"/>
          <w:color w:val="auto"/>
        </w:rPr>
        <w:t>Revenue of $17.61bn (+7% year-over-year) and adjusted EBITDA of $2.495bn, (-12% year-over-year) at the midpoint.</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4" w:name="page15"/>
    <w:bookmarkEnd w:id="14"/>
    <w:p>
      <w:pPr>
        <w:ind w:left="640" w:right="659"/>
        <w:spacing w:after="0" w:line="222"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US: </w:t>
      </w:r>
      <w:r>
        <w:rPr>
          <w:rFonts w:ascii="Times New Roman" w:cs="Times New Roman" w:eastAsia="Times New Roman" w:hAnsi="Times New Roman"/>
          <w:sz w:val="13"/>
          <w:szCs w:val="13"/>
          <w:color w:val="auto"/>
        </w:rPr>
        <w:t>The impact of unfavorable sports results in Q3 and Q4 to date</w:t>
      </w:r>
      <w:r>
        <w:rPr>
          <w:rFonts w:ascii="Times New Roman" w:cs="Times New Roman" w:eastAsia="Times New Roman" w:hAnsi="Times New Roman"/>
          <w:sz w:val="18"/>
          <w:szCs w:val="18"/>
          <w:color w:val="auto"/>
          <w:vertAlign w:val="superscript"/>
        </w:rPr>
        <w:t>16</w:t>
      </w:r>
      <w:r>
        <w:rPr>
          <w:rFonts w:ascii="Times New Roman" w:cs="Times New Roman" w:eastAsia="Times New Roman" w:hAnsi="Times New Roman"/>
          <w:sz w:val="13"/>
          <w:szCs w:val="13"/>
          <w:color w:val="auto"/>
        </w:rPr>
        <w:t>. This results in reductions to revenue and adjusted EBITDA of $60m and $45m,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respectively. At the midpoint, US revenue is now $7.34bn (+5% year-over-year) with adjusted EBITDA of $715m (-22% year-over-year). Guidance also reflects an improved outlook for sportsbook performance, and a reduced outlook for iGaming in light of recent trends.</w:t>
      </w:r>
    </w:p>
    <w:p>
      <w:pPr>
        <w:spacing w:after="0" w:line="139" w:lineRule="exact"/>
        <w:rPr>
          <w:sz w:val="20"/>
          <w:szCs w:val="20"/>
          <w:color w:val="auto"/>
        </w:rPr>
      </w:pPr>
    </w:p>
    <w:p>
      <w:pPr>
        <w:ind w:left="640" w:right="859"/>
        <w:spacing w:after="0" w:line="222" w:lineRule="auto"/>
        <w:rPr>
          <w:sz w:val="20"/>
          <w:szCs w:val="20"/>
          <w:color w:val="auto"/>
        </w:rPr>
      </w:pPr>
      <w:r>
        <w:rPr>
          <w:rFonts w:ascii="Times New Roman" w:cs="Times New Roman" w:eastAsia="Times New Roman" w:hAnsi="Times New Roman"/>
          <w:sz w:val="13"/>
          <w:szCs w:val="13"/>
          <w:b w:val="1"/>
          <w:bCs w:val="1"/>
          <w:color w:val="auto"/>
        </w:rPr>
        <w:t xml:space="preserve">International: </w:t>
      </w:r>
      <w:r>
        <w:rPr>
          <w:rFonts w:ascii="Times New Roman" w:cs="Times New Roman" w:eastAsia="Times New Roman" w:hAnsi="Times New Roman"/>
          <w:sz w:val="13"/>
          <w:szCs w:val="13"/>
          <w:color w:val="auto"/>
        </w:rPr>
        <w:t>The impact of unfavorable sports results in Q3 and Q4 to date</w:t>
      </w:r>
      <w:r>
        <w:rPr>
          <w:rFonts w:ascii="Times New Roman" w:cs="Times New Roman" w:eastAsia="Times New Roman" w:hAnsi="Times New Roman"/>
          <w:sz w:val="18"/>
          <w:szCs w:val="18"/>
          <w:color w:val="auto"/>
          <w:vertAlign w:val="superscript"/>
        </w:rPr>
        <w:t>16</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(-$170m revenue and -$115m adjusted EBITDA), and the previously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disclosed impact of the Brazil closure (-$70m revenue and -$20m adjusted EBITDA), which has been offset at an EBITDA level by mitigating cost actions (+$20m adjusted EBITDA).</w:t>
      </w:r>
    </w:p>
    <w:p>
      <w:pPr>
        <w:spacing w:after="0" w:line="141"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This results in reductions to revenue and adjusted EBITDA of $240m and $115m respectively. At the midpoint, International revenue is now $10.27bn (+9% year-over-year) with adjusted EBITDA of $2.09bn (-5% year-over-year).</w:t>
      </w:r>
    </w:p>
    <w:p>
      <w:pPr>
        <w:spacing w:after="0" w:line="120" w:lineRule="exact"/>
        <w:rPr>
          <w:sz w:val="20"/>
          <w:szCs w:val="20"/>
          <w:color w:val="auto"/>
        </w:rPr>
      </w:pPr>
    </w:p>
    <w:p>
      <w:pPr>
        <w:ind w:left="640" w:right="1099"/>
        <w:spacing w:after="0" w:line="214" w:lineRule="auto"/>
        <w:rPr>
          <w:sz w:val="20"/>
          <w:szCs w:val="20"/>
          <w:color w:val="auto"/>
        </w:rPr>
      </w:pPr>
      <w:r>
        <w:rPr>
          <w:rFonts w:ascii="Times New Roman" w:cs="Times New Roman" w:eastAsia="Times New Roman" w:hAnsi="Times New Roman"/>
          <w:sz w:val="13"/>
          <w:szCs w:val="13"/>
          <w:b w:val="1"/>
          <w:bCs w:val="1"/>
          <w:color w:val="auto"/>
        </w:rPr>
        <w:t>Transaction, restructuring and integration costs</w:t>
      </w:r>
      <w:r>
        <w:rPr>
          <w:rFonts w:ascii="Times New Roman" w:cs="Times New Roman" w:eastAsia="Times New Roman" w:hAnsi="Times New Roman"/>
          <w:sz w:val="18"/>
          <w:szCs w:val="18"/>
          <w:b w:val="1"/>
          <w:bCs w:val="1"/>
          <w:color w:val="auto"/>
          <w:vertAlign w:val="superscript"/>
        </w:rPr>
        <w:t>17</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now approximately $620m, reflecting an increase of $120m since expectations at Q2 2026</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primarily due to the increase in legal loss contingencies.</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All other guidance items remained unchanged from our last guidance update at Q2:</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6"/>
            <w:vMerge w:val="restart"/>
          </w:tcPr>
          <w:p>
            <w:pPr>
              <w:jc w:val="center"/>
              <w:ind w:left="359"/>
              <w:spacing w:after="0"/>
              <w:rPr>
                <w:sz w:val="20"/>
                <w:szCs w:val="20"/>
                <w:color w:val="auto"/>
              </w:rPr>
            </w:pPr>
            <w:r>
              <w:rPr>
                <w:rFonts w:ascii="Times New Roman" w:cs="Times New Roman" w:eastAsia="Times New Roman" w:hAnsi="Times New Roman"/>
                <w:sz w:val="10"/>
                <w:szCs w:val="10"/>
                <w:b w:val="1"/>
                <w:bCs w:val="1"/>
                <w:color w:val="auto"/>
                <w:w w:val="99"/>
              </w:rPr>
              <w:t>Updated 2026 guidance</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Previous</w:t>
            </w:r>
          </w:p>
        </w:tc>
        <w:tc>
          <w:tcPr>
            <w:tcW w:w="100" w:type="dxa"/>
            <w:vAlign w:val="bottom"/>
          </w:tcPr>
          <w:p>
            <w:pPr>
              <w:spacing w:after="0"/>
              <w:rPr>
                <w:sz w:val="10"/>
                <w:szCs w:val="10"/>
                <w:color w:val="auto"/>
              </w:rPr>
            </w:pPr>
          </w:p>
        </w:tc>
        <w:tc>
          <w:tcPr>
            <w:tcW w:w="5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0" w:type="dxa"/>
            <w:vAlign w:val="bottom"/>
          </w:tcPr>
          <w:p>
            <w:pPr>
              <w:spacing w:after="0"/>
              <w:rPr>
                <w:sz w:val="1"/>
                <w:szCs w:val="1"/>
                <w:color w:val="auto"/>
              </w:rPr>
            </w:pPr>
          </w:p>
        </w:tc>
      </w:tr>
      <w:tr>
        <w:trPr>
          <w:trHeight w:val="106"/>
        </w:trPr>
        <w:tc>
          <w:tcPr>
            <w:tcW w:w="3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tcPr>
          <w:p>
            <w:pPr>
              <w:jc w:val="right"/>
              <w:ind w:right="260"/>
              <w:spacing w:after="0" w:line="106" w:lineRule="exact"/>
              <w:rPr>
                <w:sz w:val="20"/>
                <w:szCs w:val="20"/>
                <w:color w:val="auto"/>
              </w:rPr>
            </w:pPr>
            <w:r>
              <w:rPr>
                <w:rFonts w:ascii="Times New Roman" w:cs="Times New Roman" w:eastAsia="Times New Roman" w:hAnsi="Times New Roman"/>
                <w:sz w:val="10"/>
                <w:szCs w:val="10"/>
                <w:b w:val="1"/>
                <w:bCs w:val="1"/>
                <w:color w:val="auto"/>
              </w:rPr>
              <w:t>guidance</w:t>
            </w:r>
          </w:p>
        </w:tc>
        <w:tc>
          <w:tcPr>
            <w:tcW w:w="10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52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0"/>
                <w:szCs w:val="10"/>
                <w:color w:val="auto"/>
              </w:rPr>
              <w:t>Low</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Midpoint</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0"/>
                <w:szCs w:val="10"/>
                <w:color w:val="auto"/>
              </w:rPr>
              <w:t>High</w:t>
            </w:r>
          </w:p>
        </w:tc>
        <w:tc>
          <w:tcPr>
            <w:tcW w:w="18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Midpoint</w:t>
            </w: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91"/>
              </w:rPr>
              <w:t>Midpoint</w:t>
            </w:r>
          </w:p>
        </w:tc>
        <w:tc>
          <w:tcPr>
            <w:tcW w:w="1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5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Group revenue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8"/>
              </w:rPr>
              <w:t>17.335bn</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4"/>
              </w:rPr>
              <w:t>17.61bn</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8"/>
              </w:rPr>
              <w:t>17.885bn</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4"/>
              </w:rPr>
              <w:t>17.91bn</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(300)m</w:t>
            </w:r>
          </w:p>
        </w:tc>
        <w:tc>
          <w:tcPr>
            <w:tcW w:w="0" w:type="dxa"/>
            <w:vAlign w:val="bottom"/>
          </w:tcPr>
          <w:p>
            <w:pPr>
              <w:spacing w:after="0"/>
              <w:rPr>
                <w:sz w:val="1"/>
                <w:szCs w:val="1"/>
                <w:color w:val="auto"/>
              </w:rPr>
            </w:pPr>
          </w:p>
        </w:tc>
      </w:tr>
      <w:tr>
        <w:trPr>
          <w:trHeight w:val="152"/>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Group adjusted EBITDA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2.345bn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9"/>
              </w:rPr>
              <w:t>2.495bn</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2.645bn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4"/>
              </w:rPr>
              <w:t>2.655bn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(160)m</w:t>
            </w:r>
          </w:p>
        </w:tc>
        <w:tc>
          <w:tcPr>
            <w:tcW w:w="0" w:type="dxa"/>
            <w:vAlign w:val="bottom"/>
          </w:tcPr>
          <w:p>
            <w:pPr>
              <w:spacing w:after="0"/>
              <w:rPr>
                <w:sz w:val="1"/>
                <w:szCs w:val="1"/>
                <w:color w:val="auto"/>
              </w:rPr>
            </w:pPr>
          </w:p>
        </w:tc>
      </w:tr>
      <w:tr>
        <w:trPr>
          <w:trHeight w:val="15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total revenue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7.165bn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7.34bn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7.515bn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7.4bn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(60)m</w:t>
            </w:r>
          </w:p>
        </w:tc>
        <w:tc>
          <w:tcPr>
            <w:tcW w:w="0" w:type="dxa"/>
            <w:vAlign w:val="bottom"/>
          </w:tcPr>
          <w:p>
            <w:pPr>
              <w:spacing w:after="0"/>
              <w:rPr>
                <w:sz w:val="1"/>
                <w:szCs w:val="1"/>
                <w:color w:val="auto"/>
              </w:rPr>
            </w:pPr>
          </w:p>
        </w:tc>
      </w:tr>
      <w:tr>
        <w:trPr>
          <w:trHeight w:val="152"/>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US total adjusted EBITDA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0.615bn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9"/>
              </w:rPr>
              <w:t>0.715bn</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0.815bn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0.76bn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(45)m</w:t>
            </w:r>
          </w:p>
        </w:tc>
        <w:tc>
          <w:tcPr>
            <w:tcW w:w="0" w:type="dxa"/>
            <w:vAlign w:val="bottom"/>
          </w:tcPr>
          <w:p>
            <w:pPr>
              <w:spacing w:after="0"/>
              <w:rPr>
                <w:sz w:val="1"/>
                <w:szCs w:val="1"/>
                <w:color w:val="auto"/>
              </w:rPr>
            </w:pPr>
          </w:p>
        </w:tc>
      </w:tr>
      <w:tr>
        <w:trPr>
          <w:trHeight w:val="15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International revenue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10.17bn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9"/>
              </w:rPr>
              <w:t>10.27bn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10.37bn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4"/>
              </w:rPr>
              <w:t>10.51bn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(240)m</w:t>
            </w:r>
          </w:p>
        </w:tc>
        <w:tc>
          <w:tcPr>
            <w:tcW w:w="0" w:type="dxa"/>
            <w:vAlign w:val="bottom"/>
          </w:tcPr>
          <w:p>
            <w:pPr>
              <w:spacing w:after="0"/>
              <w:rPr>
                <w:sz w:val="1"/>
                <w:szCs w:val="1"/>
                <w:color w:val="auto"/>
              </w:rPr>
            </w:pPr>
          </w:p>
        </w:tc>
      </w:tr>
      <w:tr>
        <w:trPr>
          <w:trHeight w:val="152"/>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 adjusted EBITDA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2.04bn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2.09bn</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2.14bn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4"/>
              </w:rPr>
              <w:t>2.205bn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(115)m</w:t>
            </w:r>
          </w:p>
        </w:tc>
        <w:tc>
          <w:tcPr>
            <w:tcW w:w="0" w:type="dxa"/>
            <w:vAlign w:val="bottom"/>
          </w:tcPr>
          <w:p>
            <w:pPr>
              <w:spacing w:after="0"/>
              <w:rPr>
                <w:sz w:val="1"/>
                <w:szCs w:val="1"/>
                <w:color w:val="auto"/>
              </w:rPr>
            </w:pPr>
          </w:p>
        </w:tc>
      </w:tr>
      <w:tr>
        <w:trPr>
          <w:trHeight w:val="15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Unallocated corporate overhead</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40" w:type="dxa"/>
            <w:vAlign w:val="bottom"/>
            <w:gridSpan w:val="8"/>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7"/>
              </w:rPr>
              <w:t>Approximately $(310)m</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(310)m</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net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8"/>
          </w:tcPr>
          <w:p>
            <w:pPr>
              <w:jc w:val="center"/>
              <w:ind w:right="180"/>
              <w:spacing w:after="0"/>
              <w:rPr>
                <w:sz w:val="20"/>
                <w:szCs w:val="20"/>
                <w:color w:val="auto"/>
              </w:rPr>
            </w:pPr>
            <w:r>
              <w:rPr>
                <w:rFonts w:ascii="Times New Roman" w:cs="Times New Roman" w:eastAsia="Times New Roman" w:hAnsi="Times New Roman"/>
                <w:sz w:val="13"/>
                <w:szCs w:val="13"/>
                <w:color w:val="auto"/>
                <w:w w:val="97"/>
              </w:rPr>
              <w:t>Approximately $(640)m</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(640)m</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 excl. acquired intangibles</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40" w:type="dxa"/>
            <w:vAlign w:val="bottom"/>
            <w:gridSpan w:val="8"/>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7"/>
              </w:rPr>
              <w:t>Approximately $(730)m</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(730)m</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352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Capital expenditure</w:t>
            </w:r>
            <w:r>
              <w:rPr>
                <w:rFonts w:ascii="Times New Roman" w:cs="Times New Roman" w:eastAsia="Times New Roman" w:hAnsi="Times New Roman"/>
                <w:sz w:val="17"/>
                <w:szCs w:val="17"/>
                <w:color w:val="auto"/>
                <w:vertAlign w:val="superscript"/>
              </w:rPr>
              <w:t>18</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8"/>
          </w:tcPr>
          <w:p>
            <w:pPr>
              <w:jc w:val="center"/>
              <w:ind w:right="180"/>
              <w:spacing w:after="0"/>
              <w:rPr>
                <w:sz w:val="20"/>
                <w:szCs w:val="20"/>
                <w:color w:val="auto"/>
              </w:rPr>
            </w:pPr>
            <w:r>
              <w:rPr>
                <w:rFonts w:ascii="Times New Roman" w:cs="Times New Roman" w:eastAsia="Times New Roman" w:hAnsi="Times New Roman"/>
                <w:sz w:val="13"/>
                <w:szCs w:val="13"/>
                <w:color w:val="auto"/>
                <w:w w:val="97"/>
              </w:rPr>
              <w:t>Approximately $(815)m</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(815)m</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 restructuring and integration costs</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40" w:type="dxa"/>
            <w:vAlign w:val="bottom"/>
            <w:gridSpan w:val="8"/>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7"/>
              </w:rPr>
              <w:t>Approximately $(620)m</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(500)m</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(120)m</w:t>
            </w:r>
          </w:p>
        </w:tc>
        <w:tc>
          <w:tcPr>
            <w:tcW w:w="0" w:type="dxa"/>
            <w:vAlign w:val="bottom"/>
          </w:tcPr>
          <w:p>
            <w:pPr>
              <w:spacing w:after="0"/>
              <w:rPr>
                <w:sz w:val="1"/>
                <w:szCs w:val="1"/>
                <w:color w:val="auto"/>
              </w:rPr>
            </w:pPr>
          </w:p>
        </w:tc>
      </w:tr>
      <w:tr>
        <w:trPr>
          <w:trHeight w:val="165"/>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Share repurchases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8"/>
          </w:tcPr>
          <w:p>
            <w:pPr>
              <w:jc w:val="center"/>
              <w:ind w:right="200"/>
              <w:spacing w:after="0"/>
              <w:rPr>
                <w:sz w:val="20"/>
                <w:szCs w:val="20"/>
                <w:color w:val="auto"/>
              </w:rPr>
            </w:pPr>
            <w:r>
              <w:rPr>
                <w:rFonts w:ascii="Times New Roman" w:cs="Times New Roman" w:eastAsia="Times New Roman" w:hAnsi="Times New Roman"/>
                <w:sz w:val="13"/>
                <w:szCs w:val="13"/>
                <w:color w:val="auto"/>
                <w:w w:val="97"/>
              </w:rPr>
              <w:t>Approximately $(250)m (complete)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(250)m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640" w:right="699"/>
        <w:spacing w:after="0" w:line="295" w:lineRule="auto"/>
        <w:rPr>
          <w:sz w:val="20"/>
          <w:szCs w:val="20"/>
          <w:color w:val="auto"/>
        </w:rPr>
      </w:pPr>
      <w:r>
        <w:rPr>
          <w:rFonts w:ascii="Times New Roman" w:cs="Times New Roman" w:eastAsia="Times New Roman" w:hAnsi="Times New Roman"/>
          <w:sz w:val="13"/>
          <w:szCs w:val="13"/>
          <w:color w:val="auto"/>
        </w:rPr>
        <w:t>Guidance is provided (i) on the basis that sports results are in line with our expected margin for the remainder of the year, (ii) at stated foreign exchange rates</w:t>
      </w: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3"/>
          <w:szCs w:val="13"/>
          <w:color w:val="auto"/>
        </w:rPr>
        <w:t xml:space="preserve"> and (iii) on the basis of a consistent regulatory and tax framework except where otherwise stated.</w:t>
      </w:r>
    </w:p>
    <w:p>
      <w:pPr>
        <w:spacing w:after="0" w:line="17" w:lineRule="exact"/>
        <w:rPr>
          <w:sz w:val="20"/>
          <w:szCs w:val="20"/>
          <w:color w:val="auto"/>
        </w:rPr>
      </w:pPr>
    </w:p>
    <w:p>
      <w:pPr>
        <w:jc w:val="both"/>
        <w:ind w:left="640" w:right="859"/>
        <w:spacing w:after="0" w:line="286" w:lineRule="auto"/>
        <w:rPr>
          <w:sz w:val="20"/>
          <w:szCs w:val="20"/>
          <w:color w:val="auto"/>
        </w:rPr>
      </w:pPr>
      <w:r>
        <w:rPr>
          <w:rFonts w:ascii="Times New Roman" w:cs="Times New Roman" w:eastAsia="Times New Roman" w:hAnsi="Times New Roman"/>
          <w:sz w:val="12"/>
          <w:szCs w:val="12"/>
          <w:color w:val="auto"/>
        </w:rPr>
        <w:t>A reconciliation of our forward-looking non-GAAP financial measures to the most directly comparable GAAP financial measure cannot be provided without unreasonable effort. This is due to the inherent difficulty of accurately forecasting the occurrence and financial impact of the adjusting items necessary for such a reconciliation to be prepared that have not yet occurred, are out of our control, or cannot be reasonably predicted.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Conference call:</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Flutter management will host a conference call today at 8:30 a.m. EST (1:30 p.m. GMT) to review the results and be available for questions, with access via webcast and telephone.</w:t>
      </w:r>
    </w:p>
    <w:p>
      <w:pPr>
        <w:spacing w:after="0" w:line="120" w:lineRule="exact"/>
        <w:rPr>
          <w:sz w:val="20"/>
          <w:szCs w:val="20"/>
          <w:color w:val="auto"/>
        </w:rPr>
      </w:pPr>
    </w:p>
    <w:p>
      <w:pPr>
        <w:ind w:left="640" w:right="939"/>
        <w:spacing w:after="0" w:line="257" w:lineRule="auto"/>
        <w:rPr>
          <w:sz w:val="20"/>
          <w:szCs w:val="20"/>
          <w:color w:val="auto"/>
        </w:rPr>
      </w:pPr>
      <w:r>
        <w:rPr>
          <w:rFonts w:ascii="Times New Roman" w:cs="Times New Roman" w:eastAsia="Times New Roman" w:hAnsi="Times New Roman"/>
          <w:sz w:val="13"/>
          <w:szCs w:val="13"/>
          <w:color w:val="auto"/>
        </w:rPr>
        <w:t xml:space="preserve">A public audio webcast of management’s call and the related Q&amp;A can be accessed by registering </w:t>
      </w:r>
      <w:r>
        <w:rPr>
          <w:rFonts w:ascii="Times New Roman" w:cs="Times New Roman" w:eastAsia="Times New Roman" w:hAnsi="Times New Roman"/>
          <w:sz w:val="13"/>
          <w:szCs w:val="13"/>
          <w:b w:val="1"/>
          <w:bCs w:val="1"/>
          <w:color w:val="auto"/>
        </w:rPr>
        <w:t>here</w:t>
      </w:r>
      <w:r>
        <w:rPr>
          <w:rFonts w:ascii="Times New Roman" w:cs="Times New Roman" w:eastAsia="Times New Roman" w:hAnsi="Times New Roman"/>
          <w:sz w:val="13"/>
          <w:szCs w:val="13"/>
          <w:color w:val="auto"/>
        </w:rPr>
        <w:t xml:space="preserve"> or via www.flutter.com/investors. For those unable to listen to the live broadcast, a replay will be available approximately one hour after the conclusion of the call. This earnings release and supplementary materials will also be made available via www.flutter.com/investors.</w:t>
      </w:r>
    </w:p>
    <w:p>
      <w:pPr>
        <w:spacing w:after="0" w:line="128"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Analysts and investors who wish to participate in the live conference call must do so by dialing any of the numbers below and using conference ID 481 500 392. Please dial in 10 minutes before the conference call begins.</w:t>
      </w:r>
    </w:p>
    <w:p>
      <w:pPr>
        <w:spacing w:after="0" w:line="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+1 833 461 5787 (North America)</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+44 117 389 0104 (United Kingdom)</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+353 1800 851 901 (Ireland)</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+61 1800 849 752 (Australia)</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+1 585 542 9983 (International)</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cost efficiency program and restructuring plans, our plans to improve execution and unlock greater value, our planned deleveraging, our expectations regarding market share, the performance of our business, our financial results, our operations, our liquidity and capital resources, the conditions in our industry and our growth strategy (including our plans and expectations related to new product offerings and enhancements). In some cases, you can identify these forward-looking statements by the use of words such as “outlook,” “believe(s),” ”expect(s),” “potential,” “continue(s),” “may,” “will,” “should,” “could,” “would,” “seek(s),” “predict(s),” “intend(s),” “trends,” “plan(s),” “estimate(s),” “anticipates,” “projection,” “goal,” “target,” “aspire,” “will likely result,” and/or the negative version of these words or other comparable words of a future or forward looking nature. Such forward-looking statements are subject to various risks and uncertainties. Accordingly, there are or will be important factors that could cause actual outcomes or results to differ materially from those indicated in these statements. Such factors include, among others: Flutter’s ability to effectively compete in the global entertainment and gaming industries; Adverse changes to the regulation (including taxation) of online betting, iGaming and adjacent industries; Flutter’s ability to retain existing customers and to successfully acquire new customers; Flutter’s ability to accurately determine the odds in relation to any particular event exposes us to trading, liability management and pricing risk; Variability in win rates, jackpot payouts and the scheduling of major sporting events; Flutter’s ability to successfully develop new products, expand offerings and invest in products and technology; Flutter’s ability to successfully acquire and integrate new businesses; The effectiveness of Flutter’s restructuring and cost transformation programs (including expected costs savings); Flutter’s ability to maintain relationships with third-parties; Public sentiment towards online betting and iGaming generally; The potential impact of general economic conditions, including recessions, economic slowdowns, inflation, rising energy prices, tariffs and/or trade disputes, fluctuating interest rates and instability in the banking system, on Flutter’s liquidity, operations and personnel; Flutter’s ability to obtain and maintain licenses with gaming authorities; The failure of additional jurisdictions to legalize and regulate online betting and iGaming; Flutter’s ability to comply with complex, varied and evolving U.S. and international laws and regulations relating to its business; The uncertain and evolving legal and regulatory treatment of prediction markets and its impact on Flutter’s prediction markets strategy, products and market-making activities; Flutter’s ability to adequately plan for succession and effectively manage leadership transitions, including changes in its executive management; Flutter’s level of indebtedness, including its ability to refinance or incur additional debt, and the impact of related covenants and market conditions on its strategy and financial flexibility; The impact of adverse outcomes in litigation or tax disputes; The ability to adequately protect Flutter’s intellectual property rights; The impact of data security breaches or cyber-attacks on Flutter’s systems; and Flutter’s ability to prevent and remediate material weaknesses in its internal control over financial reporting.</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16" w:name="page17"/>
    <w:bookmarkEnd w:id="16"/>
    <w:p>
      <w:pPr>
        <w:ind w:left="640" w:right="81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Additional factors that could cause the Company’s results to differ materially from those described in the forward-looking statements can be found in Part I, “Item 1A. Risk Factors” of the Company’s Annual Report on Form 10-K for the fiscal year ended December 31, 2025 filed with the Securities and Exchange Commission (the “SEC”) on February 26, 2026, the Company’s Quarterly Report on Form 10-Q for the fiscal quarter ended September 30, 2026, filed with the SEC on November 4, 2026 and other periodic filings with the SEC, which are accessible on the SEC’s website at www.sec.gov. These factors should not be construed as exhaustive and should be read in conjunction with the other cautionary statements that are included in the Company’s filings with the SEC. The Company undertakes no obligation to publicly update or review any forward-looking statement, whether as a result of new information, future developments or otherwise, except as required by law.</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Flutter Entertainment plc</w:t>
      </w:r>
    </w:p>
    <w:p>
      <w:pPr>
        <w:spacing w:after="0" w:line="80" w:lineRule="exact"/>
        <w:rPr>
          <w:sz w:val="20"/>
          <w:szCs w:val="20"/>
          <w:color w:val="auto"/>
        </w:rPr>
      </w:pPr>
    </w:p>
    <w:p>
      <w:pPr>
        <w:ind w:left="640" w:right="699"/>
        <w:spacing w:after="0" w:line="279" w:lineRule="auto"/>
        <w:rPr>
          <w:sz w:val="20"/>
          <w:szCs w:val="20"/>
          <w:color w:val="auto"/>
        </w:rPr>
      </w:pPr>
      <w:r>
        <w:rPr>
          <w:rFonts w:ascii="Times New Roman" w:cs="Times New Roman" w:eastAsia="Times New Roman" w:hAnsi="Times New Roman"/>
          <w:sz w:val="12"/>
          <w:szCs w:val="12"/>
          <w:color w:val="auto"/>
        </w:rPr>
        <w:t>Flutter is the world’s leading online sports betting and iGaming operator, with a market leading position in the US and across the world. Our ambition is to leverage our size and our challenger mindset to change our industry for the better. By Changing the Game, we believe we can deliver long-term growth while promoting a positive, sustainable future for all our stakeholders. We are well-placed to do so through the distinctive, global advantages of the Flutter Edge, which gives our brands access to group-wide benefits, as well as our clear vision for sustainability through our Positive Impact Plan.</w:t>
      </w:r>
    </w:p>
    <w:p>
      <w:pPr>
        <w:spacing w:after="0" w:line="116" w:lineRule="exact"/>
        <w:rPr>
          <w:sz w:val="20"/>
          <w:szCs w:val="20"/>
          <w:color w:val="auto"/>
        </w:rPr>
      </w:pPr>
    </w:p>
    <w:p>
      <w:pPr>
        <w:ind w:left="640" w:right="999"/>
        <w:spacing w:after="0" w:line="255" w:lineRule="auto"/>
        <w:rPr>
          <w:sz w:val="20"/>
          <w:szCs w:val="20"/>
          <w:color w:val="auto"/>
        </w:rPr>
      </w:pPr>
      <w:r>
        <w:rPr>
          <w:rFonts w:ascii="Times New Roman" w:cs="Times New Roman" w:eastAsia="Times New Roman" w:hAnsi="Times New Roman"/>
          <w:sz w:val="13"/>
          <w:szCs w:val="13"/>
          <w:color w:val="auto"/>
        </w:rPr>
        <w:t>Flutter operates a diverse portfolio of leading online sports betting and iGaming brands including FanDuel, Sky Betting &amp; Gaming, Sportsbet, PokerStars, Paddy Power, Sisal, Snai, tombola, Betfair, MaxBet, Adjarabet and Betnacional. We are the industry leader with $16,383m of revenue globally for fiscal 2025, up 17% YoY, and $3,874m of revenue globally for the quarter ended September 30, 2026.</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ectPr>
          <w:pgSz w:w="11900" w:h="16838" w:orient="portrait"/>
          <w:cols w:equalWidth="0" w:num="1">
            <w:col w:w="9019"/>
          </w:cols>
          <w:pgMar w:left="1440" w:top="231" w:right="1440" w:bottom="1440" w:gutter="0" w:footer="0" w:header="0"/>
        </w:sectPr>
      </w:pPr>
    </w:p>
    <w:p>
      <w:pPr>
        <w:spacing w:after="0" w:line="1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i w:val="1"/>
          <w:iCs w:val="1"/>
          <w:color w:val="auto"/>
        </w:rPr>
        <w:t>Investor Relations: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Media Relations:</w:t>
      </w:r>
    </w:p>
    <w:p>
      <w:pPr>
        <w:spacing w:after="0" w:line="91" w:lineRule="exact"/>
        <w:rPr>
          <w:sz w:val="20"/>
          <w:szCs w:val="20"/>
          <w:color w:val="auto"/>
        </w:rPr>
      </w:pPr>
    </w:p>
    <w:p>
      <w:pPr>
        <w:sectPr>
          <w:pgSz w:w="11900" w:h="16838" w:orient="portrait"/>
          <w:cols w:equalWidth="0" w:num="2">
            <w:col w:w="3940" w:space="720"/>
            <w:col w:w="4359"/>
          </w:cols>
          <w:pgMar w:left="1440" w:top="231"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2"/>
          <w:szCs w:val="12"/>
          <w:color w:val="auto"/>
        </w:rPr>
        <w:t>Paul Tymms, Investor Relations</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Times New Roman" w:cs="Times New Roman" w:eastAsia="Times New Roman" w:hAnsi="Times New Roman"/>
          <w:sz w:val="12"/>
          <w:szCs w:val="12"/>
          <w:color w:val="auto"/>
        </w:rPr>
        <w:t>Kate Delahunty, Corporate Communications</w:t>
      </w:r>
    </w:p>
    <w:p>
      <w:pPr>
        <w:spacing w:after="0" w:line="89" w:lineRule="exact"/>
        <w:rPr>
          <w:sz w:val="20"/>
          <w:szCs w:val="20"/>
          <w:color w:val="auto"/>
        </w:rPr>
      </w:pPr>
    </w:p>
    <w:p>
      <w:pPr>
        <w:sectPr>
          <w:pgSz w:w="11900" w:h="16838" w:orient="portrait"/>
          <w:cols w:equalWidth="0" w:num="2">
            <w:col w:w="3940" w:space="720"/>
            <w:col w:w="4359"/>
          </w:cols>
          <w:pgMar w:left="1440" w:top="231"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2"/>
          <w:szCs w:val="12"/>
          <w:color w:val="auto"/>
        </w:rPr>
        <w:t>Ciara O’Mullane, 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Lindsay Dunford, Corporate Communications</w:t>
      </w:r>
    </w:p>
    <w:p>
      <w:pPr>
        <w:spacing w:after="0" w:line="89" w:lineRule="exact"/>
        <w:rPr>
          <w:sz w:val="20"/>
          <w:szCs w:val="20"/>
          <w:color w:val="auto"/>
        </w:rPr>
      </w:pPr>
    </w:p>
    <w:p>
      <w:pPr>
        <w:sectPr>
          <w:pgSz w:w="11900" w:h="16838" w:orient="portrait"/>
          <w:cols w:equalWidth="0" w:num="2">
            <w:col w:w="3940" w:space="720"/>
            <w:col w:w="4359"/>
          </w:cols>
          <w:pgMar w:left="1440" w:top="231"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2"/>
          <w:szCs w:val="12"/>
          <w:color w:val="auto"/>
        </w:rPr>
        <w:t>Sophie Nottage, 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Rob Allen, Corporate Communications</w:t>
      </w:r>
    </w:p>
    <w:p>
      <w:pPr>
        <w:spacing w:after="0" w:line="87" w:lineRule="exact"/>
        <w:rPr>
          <w:sz w:val="20"/>
          <w:szCs w:val="20"/>
          <w:color w:val="auto"/>
        </w:rPr>
      </w:pPr>
    </w:p>
    <w:p>
      <w:pPr>
        <w:sectPr>
          <w:pgSz w:w="11900" w:h="16838" w:orient="portrait"/>
          <w:cols w:equalWidth="0" w:num="2">
            <w:col w:w="3940" w:space="720"/>
            <w:col w:w="4359"/>
          </w:cols>
          <w:pgMar w:left="1440" w:top="231"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2"/>
          <w:szCs w:val="12"/>
          <w:b w:val="1"/>
          <w:bCs w:val="1"/>
          <w:color w:val="auto"/>
        </w:rPr>
        <w:t>Email</w:t>
      </w:r>
      <w:r>
        <w:rPr>
          <w:rFonts w:ascii="Times New Roman" w:cs="Times New Roman" w:eastAsia="Times New Roman" w:hAnsi="Times New Roman"/>
          <w:sz w:val="12"/>
          <w:szCs w:val="12"/>
          <w:color w:val="auto"/>
        </w:rPr>
        <w:t>: investor.relations@flutter.com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 xml:space="preserve">Email: </w:t>
      </w:r>
      <w:r>
        <w:rPr>
          <w:rFonts w:ascii="Times New Roman" w:cs="Times New Roman" w:eastAsia="Times New Roman" w:hAnsi="Times New Roman"/>
          <w:sz w:val="12"/>
          <w:szCs w:val="12"/>
          <w:color w:val="auto"/>
        </w:rPr>
        <w:t>corporatecomms@flutter.com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126365</wp:posOffset>
            </wp:positionV>
            <wp:extent cx="4031615" cy="367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31615" cy="367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4359"/>
          </w:cols>
          <w:pgMar w:left="1440" w:top="2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9019"/>
          </w:cols>
          <w:pgMar w:left="1440" w:top="231" w:right="1440" w:bottom="1440" w:gutter="0" w:footer="0" w:header="0"/>
          <w:type w:val="continuous"/>
        </w:sectPr>
      </w:pPr>
    </w:p>
    <w:bookmarkStart w:id="17" w:name="page18"/>
    <w:bookmarkEnd w:id="1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Notes</w:t>
      </w:r>
    </w:p>
    <w:p>
      <w:pPr>
        <w:spacing w:after="0" w:line="89" w:lineRule="exact"/>
        <w:rPr>
          <w:sz w:val="20"/>
          <w:szCs w:val="20"/>
          <w:color w:val="auto"/>
        </w:rPr>
      </w:pPr>
    </w:p>
    <w:p>
      <w:pPr>
        <w:ind w:left="940" w:right="799" w:hanging="303"/>
        <w:spacing w:after="0" w:line="251" w:lineRule="auto"/>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market position, online gross gaming revenue (GGR) and handle market share is based on published gaming regulator reports in those states where FanDuel is live. FanDuel sportsbook GGR and handle market share for the three months to September 30, 2026 was 36% and 33%, respectively. FanDuel iGaming GGR market share for the three months to September 30, 2026 was 27%. Reference to improved sportsbook trajectory is based on the month-on-month improvement in GGR and handle market share in August and September 2026.</w:t>
      </w:r>
    </w:p>
    <w:p>
      <w:pPr>
        <w:spacing w:after="0" w:line="66" w:lineRule="exact"/>
        <w:rPr>
          <w:sz w:val="20"/>
          <w:szCs w:val="20"/>
          <w:color w:val="auto"/>
        </w:rPr>
      </w:pPr>
    </w:p>
    <w:p>
      <w:pPr>
        <w:ind w:left="940" w:hanging="303"/>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Impact of US sports results (excluding market-making):</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Q3 total sports results: revenue $38m unfavorable, $27m adjusted EBITDA unfavorable</w:t>
      </w:r>
    </w:p>
    <w:p>
      <w:pPr>
        <w:spacing w:after="0" w:line="87" w:lineRule="exact"/>
        <w:rPr>
          <w:rFonts w:ascii="Times New Roman" w:cs="Times New Roman" w:eastAsia="Times New Roman" w:hAnsi="Times New Roman"/>
          <w:sz w:val="13"/>
          <w:szCs w:val="13"/>
          <w:color w:val="auto"/>
        </w:rPr>
      </w:pPr>
    </w:p>
    <w:p>
      <w:pPr>
        <w:ind w:left="1640" w:right="759" w:hanging="235"/>
        <w:spacing w:after="0" w:line="309" w:lineRule="auto"/>
        <w:tabs>
          <w:tab w:leader="none" w:pos="164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Q2 total sports results: revenue $21m unfavorable, $11m adjusted EBITDA unfavorable. Note that favorable impact disclosed in gross gaming revenue translated to an unfavorable net revenue impact due to the timing of sports results related generosity changes</w:t>
      </w:r>
    </w:p>
    <w:p>
      <w:pPr>
        <w:spacing w:after="0" w:line="33" w:lineRule="exact"/>
        <w:rPr>
          <w:rFonts w:ascii="Times New Roman" w:cs="Times New Roman" w:eastAsia="Times New Roman" w:hAnsi="Times New Roman"/>
          <w:sz w:val="12"/>
          <w:szCs w:val="12"/>
          <w:color w:val="auto"/>
        </w:rPr>
      </w:pPr>
    </w:p>
    <w:p>
      <w:pPr>
        <w:ind w:left="1640" w:hanging="235"/>
        <w:spacing w:after="0"/>
        <w:tabs>
          <w:tab w:leader="none" w:pos="1640" w:val="left"/>
        </w:tabs>
        <w:numPr>
          <w:ilvl w:val="1"/>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Q1 total sports results: revenue $33m unfavorable, $22m adjusted EBITDA unfavorable</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Impact of International sports results:</w:t>
      </w:r>
    </w:p>
    <w:p>
      <w:pPr>
        <w:spacing w:after="0" w:line="87" w:lineRule="exact"/>
        <w:rPr>
          <w:sz w:val="20"/>
          <w:szCs w:val="20"/>
          <w:color w:val="auto"/>
        </w:rPr>
      </w:pPr>
    </w:p>
    <w:p>
      <w:pPr>
        <w:ind w:left="1640" w:hanging="235"/>
        <w:spacing w:after="0"/>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Q3 total sports results: revenue $131m unfavorable, $86m adjusted EBITDA unfavorable</w:t>
      </w:r>
    </w:p>
    <w:p>
      <w:pPr>
        <w:spacing w:after="0" w:line="87"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Q2 total sports results: revenue $37m favorable, $23m adjusted EBITDA favorable</w:t>
      </w:r>
    </w:p>
    <w:p>
      <w:pPr>
        <w:spacing w:after="0" w:line="87" w:lineRule="exact"/>
        <w:rPr>
          <w:rFonts w:ascii="Times New Roman" w:cs="Times New Roman" w:eastAsia="Times New Roman" w:hAnsi="Times New Roman"/>
          <w:sz w:val="13"/>
          <w:szCs w:val="13"/>
          <w:color w:val="auto"/>
        </w:rPr>
      </w:pPr>
    </w:p>
    <w:p>
      <w:pPr>
        <w:ind w:left="640" w:right="2859" w:firstLine="765"/>
        <w:spacing w:after="0" w:line="380" w:lineRule="auto"/>
        <w:tabs>
          <w:tab w:leader="none" w:pos="1635"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Q1 total sports results: revenue $100m unfavorable, $77m adjusted EBITDA unfavorable 3 All growth rates are year-over-year unless otherwise specified</w:t>
      </w:r>
    </w:p>
    <w:p>
      <w:pPr>
        <w:ind w:left="940" w:right="679" w:hanging="303"/>
        <w:spacing w:after="0" w:line="269" w:lineRule="auto"/>
        <w:tabs>
          <w:tab w:leader="none" w:pos="9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Monthly Players (“AMPs”) is defined as the average over the applicable reporting period of the total number of players who have had a bet settled and/or contributed to rake or tournament fees during the month. This measure does not include individuals who have only used new player or player retention incentives, and this measure is for online players only and excludes retail player activity. In circumstances where a player uses multiple product categories within one brand, we are generally able to identify that it is the same player who is using multiple product categories and therefore count this player as only one AMP at the Group level while also counting this player as one AMP for each separate product category that the player is using. As a result, the sum of the AMPs presented at the product category level is greater than the total AMPs presented at the Group level. See Part II, “Item 7. Management’s Discussion and Analysis of Financial Condition and Results of Operations—Key Operational Metrics” of Flutter’s Annual Report on Form 10-K for the year ended December 31, 2025 filed with the SEC on February 26, 2026 for additional information regarding how we calculate AMPs data, including a discussion regarding duplication of players that exists in such data.</w:t>
      </w:r>
    </w:p>
    <w:p>
      <w:pPr>
        <w:spacing w:after="0" w:line="58" w:lineRule="exact"/>
        <w:rPr>
          <w:sz w:val="20"/>
          <w:szCs w:val="20"/>
          <w:color w:val="auto"/>
        </w:rPr>
      </w:pPr>
    </w:p>
    <w:p>
      <w:pPr>
        <w:ind w:left="940" w:right="739" w:hanging="303"/>
        <w:spacing w:after="0" w:line="248" w:lineRule="auto"/>
        <w:tabs>
          <w:tab w:leader="none" w:pos="9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Organic revenue, Group adjusted EBITDA, organic adjusted EBITDA, Group adjusted EBITDA margin, free cash flow, free cash flow including financing capex and excluding player funds, net debt, leverage ratio, constant currency, adjusted net income attributable to Flutter shareholders, adjusted depreciation and amortization and adjusted EPS are non-GAAP financial measures. See “Definitions of non-GAAP financial measures” and “Reconciliations of Non-GAAP Financial Measures” sections of this announcement for definitions of these measures and reconciliations to the most directly comparable financial measures calculated in accordance with GAAP. Due to rounding, these numbers may not add up precisely to the totals provided.</w:t>
      </w:r>
    </w:p>
    <w:p>
      <w:pPr>
        <w:spacing w:after="0" w:line="68" w:lineRule="exact"/>
        <w:rPr>
          <w:sz w:val="20"/>
          <w:szCs w:val="20"/>
          <w:color w:val="auto"/>
        </w:rPr>
      </w:pPr>
    </w:p>
    <w:p>
      <w:pPr>
        <w:ind w:left="940" w:right="899" w:hanging="303"/>
        <w:spacing w:after="0" w:line="251" w:lineRule="auto"/>
        <w:tabs>
          <w:tab w:leader="none" w:pos="9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reconciliation of our forward-looking non-GAAP financial measures to the most directly comparable GAAP financial measure cannot be provided without unreasonable effort. This is due to the inherent difficulty of accurately forecasting the occurrence and financial impact of the adjusting items necessary for such a reconciliation to be prepared that have not yet occurred, are out of our control, or cannot be reasonably predicted.</w:t>
      </w:r>
    </w:p>
    <w:p>
      <w:pPr>
        <w:spacing w:after="0" w:line="66" w:lineRule="exact"/>
        <w:rPr>
          <w:sz w:val="20"/>
          <w:szCs w:val="20"/>
          <w:color w:val="auto"/>
        </w:rPr>
      </w:pPr>
    </w:p>
    <w:p>
      <w:pPr>
        <w:ind w:left="940" w:hanging="303"/>
        <w:spacing w:after="0"/>
        <w:tabs>
          <w:tab w:leader="none" w:pos="9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exchange rates used for guidance issued are USD:GBP of 0.748, USD:EUR of 0.896 and USD:AUD of 1.422 at October 30.</w:t>
      </w:r>
    </w:p>
    <w:p>
      <w:pPr>
        <w:spacing w:after="0" w:line="87" w:lineRule="exact"/>
        <w:rPr>
          <w:rFonts w:ascii="Times New Roman" w:cs="Times New Roman" w:eastAsia="Times New Roman" w:hAnsi="Times New Roman"/>
          <w:sz w:val="13"/>
          <w:szCs w:val="13"/>
          <w:color w:val="auto"/>
        </w:rPr>
      </w:pPr>
    </w:p>
    <w:p>
      <w:pPr>
        <w:ind w:left="640" w:right="2579"/>
        <w:spacing w:after="0" w:line="38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 Based on a survey of active FanDuel customers for NFL weeks 3-6 in 2026 vs the equivalent period in 2025. 9 Bet count refers to the number of distinct bets settled by customers in the period.</w:t>
      </w:r>
    </w:p>
    <w:p>
      <w:pPr>
        <w:ind w:left="940" w:right="839" w:hanging="303"/>
        <w:spacing w:after="0" w:line="267" w:lineRule="auto"/>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sales and marketing expenses as a percentage of total revenue. This is expected to be approximately 21% in 2026 including the marketing element of a prediction market adjusted EBITDA loss for 2026 of approximately $200m.</w:t>
      </w:r>
    </w:p>
    <w:p>
      <w:pPr>
        <w:spacing w:after="0" w:line="55"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Italian market position and share based on regulator GGR data from Agenzia delle dogane e dei Monopoli.</w:t>
      </w:r>
    </w:p>
    <w:p>
      <w:pPr>
        <w:spacing w:after="0" w:line="87" w:lineRule="exact"/>
        <w:rPr>
          <w:rFonts w:ascii="Times New Roman" w:cs="Times New Roman" w:eastAsia="Times New Roman" w:hAnsi="Times New Roman"/>
          <w:sz w:val="13"/>
          <w:szCs w:val="13"/>
          <w:color w:val="auto"/>
        </w:rPr>
      </w:pPr>
    </w:p>
    <w:p>
      <w:pPr>
        <w:ind w:left="940" w:right="999" w:hanging="303"/>
        <w:spacing w:after="0" w:line="267" w:lineRule="auto"/>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Unallocated corporate overhead includes shared technology, research and development, sales and marketing, and general and administrative expenses that are not allocated to a specific segment.</w:t>
      </w:r>
    </w:p>
    <w:p>
      <w:pPr>
        <w:spacing w:after="0" w:line="55" w:lineRule="exact"/>
        <w:rPr>
          <w:rFonts w:ascii="Times New Roman" w:cs="Times New Roman" w:eastAsia="Times New Roman" w:hAnsi="Times New Roman"/>
          <w:sz w:val="13"/>
          <w:szCs w:val="13"/>
          <w:color w:val="auto"/>
        </w:rPr>
      </w:pPr>
    </w:p>
    <w:p>
      <w:pPr>
        <w:ind w:left="940" w:right="879" w:hanging="303"/>
        <w:spacing w:after="0" w:line="267" w:lineRule="auto"/>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Flutter has ceased all real-money gaming operations in India following the enactment of the Promotion and Regulation of Online Gaming Act, 2025, which required Junglee and all other operators to immediately stop real-money gaming services.</w:t>
      </w:r>
    </w:p>
    <w:p>
      <w:pPr>
        <w:spacing w:after="0" w:line="55" w:lineRule="exact"/>
        <w:rPr>
          <w:rFonts w:ascii="Times New Roman" w:cs="Times New Roman" w:eastAsia="Times New Roman" w:hAnsi="Times New Roman"/>
          <w:sz w:val="13"/>
          <w:szCs w:val="13"/>
          <w:color w:val="auto"/>
        </w:rPr>
      </w:pPr>
    </w:p>
    <w:p>
      <w:pPr>
        <w:ind w:left="940" w:right="679" w:hanging="303"/>
        <w:spacing w:after="0" w:line="267" w:lineRule="auto"/>
        <w:tabs>
          <w:tab w:leader="none" w:pos="9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International revenue by region and year-over-year movements includes Other revenue in addition to Sports and iGaming revenue separately identified.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18" w:name="page19"/>
    <w:bookmarkEnd w:id="18"/>
    <w:p>
      <w:pPr>
        <w:ind w:left="940" w:right="719" w:hanging="303"/>
        <w:spacing w:after="0" w:line="267" w:lineRule="auto"/>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Constant currency growth rates are calculated by retranslating the non-US dollar denominated component of Q3 2025 at Q3 2026 exchange rates. See reconciliation below.</w:t>
      </w:r>
    </w:p>
    <w:p>
      <w:pPr>
        <w:spacing w:after="0" w:line="55"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Guidance reflects the impact of sports results up to October 29, 2026.</w:t>
      </w:r>
    </w:p>
    <w:p>
      <w:pPr>
        <w:spacing w:after="0" w:line="87" w:lineRule="exact"/>
        <w:rPr>
          <w:rFonts w:ascii="Times New Roman" w:cs="Times New Roman" w:eastAsia="Times New Roman" w:hAnsi="Times New Roman"/>
          <w:sz w:val="13"/>
          <w:szCs w:val="13"/>
          <w:color w:val="auto"/>
        </w:rPr>
      </w:pPr>
    </w:p>
    <w:p>
      <w:pPr>
        <w:ind w:left="940" w:right="1259" w:hanging="303"/>
        <w:spacing w:after="0" w:line="267" w:lineRule="auto"/>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Transaction, Restructuring and Integration costs primarily include (i) restructuring and integration costs associated with our PokerStars transformation program, (ii) costs associated with migration to a new enterprise resource planning system.</w:t>
      </w:r>
    </w:p>
    <w:p>
      <w:pPr>
        <w:spacing w:after="0" w:line="55" w:lineRule="exact"/>
        <w:rPr>
          <w:rFonts w:ascii="Times New Roman" w:cs="Times New Roman" w:eastAsia="Times New Roman" w:hAnsi="Times New Roman"/>
          <w:sz w:val="13"/>
          <w:szCs w:val="13"/>
          <w:color w:val="auto"/>
        </w:rPr>
      </w:pPr>
    </w:p>
    <w:p>
      <w:pPr>
        <w:jc w:val="center"/>
        <w:ind w:left="4440" w:right="699" w:hanging="3803"/>
        <w:spacing w:after="0" w:line="435" w:lineRule="auto"/>
        <w:tabs>
          <w:tab w:leader="none" w:pos="9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expenditure is defined as payments for the purchase of property and equipment, the purchase of intangible assets and capitalized software. 15</w:t>
      </w:r>
    </w:p>
    <w:p>
      <w:pPr>
        <w:sectPr>
          <w:pgSz w:w="11900" w:h="16838" w:orient="portrait"/>
          <w:cols w:equalWidth="0" w:num="1">
            <w:col w:w="9019"/>
          </w:cols>
          <w:pgMar w:left="1440" w:top="231"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Definitions of non-GAAP financial measures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This press release includes organic revenue, organic adjusted EBITDA, adjusted EBITDA, adjusted EBITDA margin, adjusted net income, adjusted net income attributable to Flutter shareholders, adjusted Earnings Per Share (“adjusted EPS”), leverage ratio, net debt, free cash flow, free cash flow including financing capex and excluding player funds, adjusted depreciation and amortization and constant currency which are non-GAAP financial measures that we use to supplement our results presented in accordance with U.S. generally accepted accounting principles (“GAAP”). These non-GAAP measures are presented solely as supplemental disclosures to reported GAAP measures because we believe that these non-GAAP measures are useful in evaluating our operating performance, similar to measures reported by its publicly-listed U.S. competitors, and regularly used by analysts, lenders, financial institutional and investors as measures of performance. These non-GAAP measures are not intended to be substitutes for any GAAP financial measures, and, as calculated, may not be comparable to other similarly titled measures of performance of other companies in other industries or within the same industry.</w:t>
      </w:r>
    </w:p>
    <w:p>
      <w:pPr>
        <w:spacing w:after="0" w:line="135"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b w:val="1"/>
          <w:bCs w:val="1"/>
          <w:color w:val="auto"/>
        </w:rPr>
        <w:t xml:space="preserve">Constant currency </w:t>
      </w:r>
      <w:r>
        <w:rPr>
          <w:rFonts w:ascii="Times New Roman" w:cs="Times New Roman" w:eastAsia="Times New Roman" w:hAnsi="Times New Roman"/>
          <w:sz w:val="13"/>
          <w:szCs w:val="13"/>
          <w:color w:val="auto"/>
        </w:rPr>
        <w:t>reflects certain operating results on a constant currency basis in order to facilitate period to period comparisons of our results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without regard to the impact of fluctuating foreign currency exchange rates. The term foreign currency exchange rates refer to the exchange rates used to translate our operating results for all countries where the functional currency is not the U.S. Dollar, into U.S. Dollars. Because we are a global company, foreign currency exchange rates used for translation may have a significant effect on our reported results. In general, our financial results are affected positively by a weaker U.S. Dollar and are affected negatively by a stronger U.S. Dollar. References to operating results on a constant currency basis mean operating results without the impact of foreign currency exchange rate fluctuations. We believe the disclosure of constant currency results is helpful to investors because it facilitates period-to-period comparisons of our results by increasing the transparency of our underlying performance by excluding the impact of fluctuating foreign currency exchange rates. We calculate constant currency revenue, adjusted EBITDA and segment adjusted EBITDA by translating prior-period revenue, adjusted EBITDA and segment adjusted EBITDA, as applicable, using the average exchange rates from the current period rather than the actual average exchange rates in effect in the prior period.</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Organic revenue </w:t>
      </w:r>
      <w:r>
        <w:rPr>
          <w:rFonts w:ascii="Times New Roman" w:cs="Times New Roman" w:eastAsia="Times New Roman" w:hAnsi="Times New Roman"/>
          <w:sz w:val="13"/>
          <w:szCs w:val="13"/>
          <w:color w:val="auto"/>
        </w:rPr>
        <w:t>is a non-GAAP measure presented on a segmental, regional and revenue stream basis in constant currency terms. It excludes:</w:t>
      </w:r>
    </w:p>
    <w:p>
      <w:pPr>
        <w:spacing w:after="0" w:line="17" w:lineRule="exact"/>
        <w:rPr>
          <w:sz w:val="20"/>
          <w:szCs w:val="20"/>
          <w:color w:val="auto"/>
        </w:rPr>
      </w:pPr>
    </w:p>
    <w:p>
      <w:pPr>
        <w:ind w:left="780" w:hanging="143"/>
        <w:spacing w:after="0"/>
        <w:tabs>
          <w:tab w:leader="none" w:pos="7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acquisitions (calculated by excluding the impact of material acquisitions that are not consolidated in both current and comparative periods) and</w:t>
      </w:r>
    </w:p>
    <w:p>
      <w:pPr>
        <w:spacing w:after="0" w:line="2" w:lineRule="exact"/>
        <w:rPr>
          <w:rFonts w:ascii="Times New Roman" w:cs="Times New Roman" w:eastAsia="Times New Roman" w:hAnsi="Times New Roman"/>
          <w:sz w:val="13"/>
          <w:szCs w:val="13"/>
          <w:color w:val="auto"/>
        </w:rPr>
      </w:pPr>
    </w:p>
    <w:p>
      <w:pPr>
        <w:ind w:left="820" w:hanging="183"/>
        <w:spacing w:after="0"/>
        <w:tabs>
          <w:tab w:leader="none" w:pos="8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exits resulting from significant regulatory changes.</w:t>
      </w:r>
    </w:p>
    <w:p>
      <w:pPr>
        <w:spacing w:after="0" w:line="139" w:lineRule="exact"/>
        <w:rPr>
          <w:sz w:val="20"/>
          <w:szCs w:val="20"/>
          <w:color w:val="auto"/>
        </w:rPr>
      </w:pPr>
    </w:p>
    <w:p>
      <w:pPr>
        <w:ind w:left="640" w:right="95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Organic adjusted EBITDA </w:t>
      </w:r>
      <w:r>
        <w:rPr>
          <w:rFonts w:ascii="Times New Roman" w:cs="Times New Roman" w:eastAsia="Times New Roman" w:hAnsi="Times New Roman"/>
          <w:sz w:val="13"/>
          <w:szCs w:val="13"/>
          <w:color w:val="auto"/>
        </w:rPr>
        <w:t>is a non-GAAP measure presented on a segmental basis in constant currency terms, applying the same adjustments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organic revenue to adjusted EBITDA.</w:t>
      </w:r>
    </w:p>
    <w:p>
      <w:pPr>
        <w:spacing w:after="0" w:line="119" w:lineRule="exact"/>
        <w:rPr>
          <w:sz w:val="20"/>
          <w:szCs w:val="20"/>
          <w:color w:val="auto"/>
        </w:rPr>
      </w:pPr>
    </w:p>
    <w:p>
      <w:pPr>
        <w:ind w:left="640" w:right="71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Organic revenue and adjusted EBITDA growth rates </w:t>
      </w:r>
      <w:r>
        <w:rPr>
          <w:rFonts w:ascii="Times New Roman" w:cs="Times New Roman" w:eastAsia="Times New Roman" w:hAnsi="Times New Roman"/>
          <w:sz w:val="13"/>
          <w:szCs w:val="13"/>
          <w:color w:val="auto"/>
        </w:rPr>
        <w:t>are also presented to show period-over-period movement. We believe the disclosure of organic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revenue, organic adjusted EBITDA, and their growth rates are helpful to investors because they facilitate period-to-period comparisons by increasing transparency of our underlying performance.</w:t>
      </w:r>
    </w:p>
    <w:p>
      <w:pPr>
        <w:spacing w:after="0" w:line="128"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The International segment has experienced a number of changes that impact period-to-period comparability. The following adjustments have been made in arriving at organic revenue and/organic adjusted EBITDA:</w:t>
      </w:r>
    </w:p>
    <w:p>
      <w:pPr>
        <w:spacing w:after="0" w:line="56" w:lineRule="exact"/>
        <w:rPr>
          <w:sz w:val="20"/>
          <w:szCs w:val="20"/>
          <w:color w:val="auto"/>
        </w:rPr>
      </w:pPr>
    </w:p>
    <w:p>
      <w:pPr>
        <w:ind w:left="1320" w:hanging="303"/>
        <w:spacing w:after="0"/>
        <w:tabs>
          <w:tab w:leader="none" w:pos="13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Junglee contributions are excluded from the comparative period following the closure of real money gaming in India in August 2025; and</w:t>
      </w:r>
    </w:p>
    <w:p>
      <w:pPr>
        <w:spacing w:after="0" w:line="98"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currency fluctuations.</w:t>
      </w:r>
    </w:p>
    <w:p>
      <w:pPr>
        <w:spacing w:after="0" w:line="152" w:lineRule="exact"/>
        <w:rPr>
          <w:sz w:val="20"/>
          <w:szCs w:val="20"/>
          <w:color w:val="auto"/>
        </w:rPr>
      </w:pPr>
    </w:p>
    <w:p>
      <w:pPr>
        <w:ind w:left="640" w:right="779"/>
        <w:spacing w:after="0" w:line="288" w:lineRule="auto"/>
        <w:rPr>
          <w:sz w:val="20"/>
          <w:szCs w:val="20"/>
          <w:color w:val="auto"/>
        </w:rPr>
      </w:pPr>
      <w:r>
        <w:rPr>
          <w:rFonts w:ascii="Times New Roman" w:cs="Times New Roman" w:eastAsia="Times New Roman" w:hAnsi="Times New Roman"/>
          <w:sz w:val="12"/>
          <w:szCs w:val="12"/>
          <w:b w:val="1"/>
          <w:bCs w:val="1"/>
          <w:color w:val="auto"/>
        </w:rPr>
        <w:t xml:space="preserve">Adjusted EBITDA </w:t>
      </w:r>
      <w:r>
        <w:rPr>
          <w:rFonts w:ascii="Times New Roman" w:cs="Times New Roman" w:eastAsia="Times New Roman" w:hAnsi="Times New Roman"/>
          <w:sz w:val="12"/>
          <w:szCs w:val="12"/>
          <w:color w:val="auto"/>
        </w:rPr>
        <w:t>is defined on a Group basis as net income (loss) before income taxes; other (expense) income, net; interest expense, net;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depreciation and amortization; transaction fees and associated costs; restructuring and integration costs; legal (settlements) loss contingencies; gaming tax disputes; impairment of property and equipment, intangible assets, right-of-use assets and goodwill and share based compensation expense.</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Adjusted EBITDA margin </w:t>
      </w:r>
      <w:r>
        <w:rPr>
          <w:rFonts w:ascii="Times New Roman" w:cs="Times New Roman" w:eastAsia="Times New Roman" w:hAnsi="Times New Roman"/>
          <w:sz w:val="13"/>
          <w:szCs w:val="13"/>
          <w:color w:val="auto"/>
        </w:rPr>
        <w:t>is Adjusted EBITDA as a percentage of revenue, respectively.</w:t>
      </w:r>
    </w:p>
    <w:p>
      <w:pPr>
        <w:spacing w:after="0" w:line="154" w:lineRule="exact"/>
        <w:rPr>
          <w:sz w:val="20"/>
          <w:szCs w:val="20"/>
          <w:color w:val="auto"/>
        </w:rPr>
      </w:pPr>
    </w:p>
    <w:p>
      <w:pPr>
        <w:ind w:left="640" w:right="71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Adjusted net income </w:t>
      </w:r>
      <w:r>
        <w:rPr>
          <w:rFonts w:ascii="Times New Roman" w:cs="Times New Roman" w:eastAsia="Times New Roman" w:hAnsi="Times New Roman"/>
          <w:sz w:val="13"/>
          <w:szCs w:val="13"/>
          <w:color w:val="auto"/>
        </w:rPr>
        <w:t>is defined as net income (loss) as adjusted for after-tax effects of transaction fees and associated costs; restructuring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integration costs; legal (settlements) loss contingencies; gaming tax disputes; amortization of acquired intangibles; accelerated amortization; loss (gain) on settlement of long-term debt; impairment of property and equipment; intangible assets; right-of-use assets and goodwill; financing related fees not eligible for capitalization; gain from disposal of businesses; fair value (gain) loss on derivative instruments; fair value (gain) loss on contingent consideration; fair value (gain) loss on Fox Option Liability and fair value (gain) loss on investment and share-based compensation.</w:t>
      </w:r>
    </w:p>
    <w:p>
      <w:pPr>
        <w:spacing w:after="0" w:line="131" w:lineRule="exact"/>
        <w:rPr>
          <w:sz w:val="20"/>
          <w:szCs w:val="20"/>
          <w:color w:val="auto"/>
        </w:rPr>
      </w:pPr>
    </w:p>
    <w:p>
      <w:pPr>
        <w:ind w:left="640" w:right="75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Adjusted net income (loss) attributable to non-controlling interests and redeemable non-controlling interests </w:t>
      </w:r>
      <w:r>
        <w:rPr>
          <w:rFonts w:ascii="Times New Roman" w:cs="Times New Roman" w:eastAsia="Times New Roman" w:hAnsi="Times New Roman"/>
          <w:sz w:val="13"/>
          <w:szCs w:val="13"/>
          <w:color w:val="auto"/>
        </w:rPr>
        <w:t>is defined as net income (loss)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attributable to non-controlling interests and redeemable non-controlling interests adjusted for impairment of property and equipment, intangible assets, right-of-use assets, goodwill and working capital in relation to Brazil.</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29" w:right="1440" w:bottom="1440" w:gutter="0" w:footer="0" w:header="0"/>
        </w:sectPr>
      </w:pPr>
    </w:p>
    <w:bookmarkStart w:id="20" w:name="page21"/>
    <w:bookmarkEnd w:id="20"/>
    <w:p>
      <w:pPr>
        <w:ind w:left="640" w:right="859"/>
        <w:spacing w:after="0" w:line="313"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Adjusted net income attributable to Flutter shareholders </w:t>
      </w:r>
      <w:r>
        <w:rPr>
          <w:rFonts w:ascii="Times New Roman" w:cs="Times New Roman" w:eastAsia="Times New Roman" w:hAnsi="Times New Roman"/>
          <w:sz w:val="12"/>
          <w:szCs w:val="12"/>
          <w:color w:val="auto"/>
        </w:rPr>
        <w:t>is defined as adjusted net income, adjusted for adjusted net income (loss) attributable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non-controlling interests and redeemable non-controlling interests, and adjustment of redeemable non-controlling interest to redemption value.</w:t>
      </w:r>
    </w:p>
    <w:p>
      <w:pPr>
        <w:spacing w:after="0" w:line="95" w:lineRule="exact"/>
        <w:rPr>
          <w:sz w:val="20"/>
          <w:szCs w:val="20"/>
          <w:color w:val="auto"/>
        </w:rPr>
      </w:pPr>
    </w:p>
    <w:p>
      <w:pPr>
        <w:ind w:left="640" w:right="87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Adjusted EPS </w:t>
      </w:r>
      <w:r>
        <w:rPr>
          <w:rFonts w:ascii="Times New Roman" w:cs="Times New Roman" w:eastAsia="Times New Roman" w:hAnsi="Times New Roman"/>
          <w:sz w:val="13"/>
          <w:szCs w:val="13"/>
          <w:color w:val="auto"/>
        </w:rPr>
        <w:t>is calculated by dividing adjusted net income attributable to Flutter shareholders by the number of diluted weighted-average ordinary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shares outstanding in the period.</w:t>
      </w:r>
    </w:p>
    <w:p>
      <w:pPr>
        <w:spacing w:after="0" w:line="121"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Adjusted EBITDA, adjusted EBITDA margin, adjusted net income, adjusted net income attributable to Flutter shareholders and adjusted EPS are non-GAAP measures and should not be viewed as measures of overall operating performance, indicators of our performance, considered in isolation, or construed as alternatives to operating profit (loss), net income (loss) measures or earnings per share, or as alternatives to net cash provided by (used in) operating activities, as measures of liquidity, or as alternatives to any other measure determined in accordance with GAAP.</w:t>
      </w:r>
    </w:p>
    <w:p>
      <w:pPr>
        <w:spacing w:after="0" w:line="133"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Management has historically used these measures when evaluating operating performance because we believe that they provide additional perspective on the financial performance of our core business.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Adjusted EBITDA has further limitations as an analytical tool. Some of these limitations are:</w:t>
      </w:r>
    </w:p>
    <w:p>
      <w:pPr>
        <w:spacing w:after="0" w:line="173" w:lineRule="exact"/>
        <w:rPr>
          <w:sz w:val="20"/>
          <w:szCs w:val="20"/>
          <w:color w:val="auto"/>
        </w:rPr>
      </w:pPr>
    </w:p>
    <w:p>
      <w:pPr>
        <w:ind w:left="940" w:hanging="227"/>
        <w:spacing w:after="0"/>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does not reflect the Group’s cash expenditures or future requirements for capital expenditure or contractual commitments;</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does not reflect changes in, or cash requirements for, the Group’s working capital needs;</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does not reflect interest expense, or the cash requirements necessary to service interest or principal payments, on the Group’s debt;</w:t>
      </w:r>
    </w:p>
    <w:p>
      <w:pPr>
        <w:spacing w:after="0" w:line="87"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does not reflect share-based compensation expense which is primarily a non-cash charge that is part of our employee compensation;</w:t>
      </w:r>
    </w:p>
    <w:p>
      <w:pPr>
        <w:spacing w:after="0" w:line="87" w:lineRule="exact"/>
        <w:rPr>
          <w:rFonts w:ascii="Times New Roman" w:cs="Times New Roman" w:eastAsia="Times New Roman" w:hAnsi="Times New Roman"/>
          <w:sz w:val="13"/>
          <w:szCs w:val="13"/>
          <w:color w:val="auto"/>
        </w:rPr>
      </w:pPr>
    </w:p>
    <w:p>
      <w:pPr>
        <w:ind w:left="940" w:right="939" w:hanging="227"/>
        <w:spacing w:after="0" w:line="267" w:lineRule="auto"/>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5" w:lineRule="exact"/>
        <w:rPr>
          <w:rFonts w:ascii="Times New Roman" w:cs="Times New Roman" w:eastAsia="Times New Roman" w:hAnsi="Times New Roman"/>
          <w:sz w:val="13"/>
          <w:szCs w:val="13"/>
          <w:color w:val="auto"/>
        </w:rPr>
      </w:pPr>
    </w:p>
    <w:p>
      <w:pPr>
        <w:ind w:left="940" w:hanging="227"/>
        <w:spacing w:after="0"/>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not adjusted for all non-cash income or expense items that are reflected in the Group’s statements of cash flows; and</w:t>
      </w:r>
    </w:p>
    <w:p>
      <w:pPr>
        <w:spacing w:after="0" w:line="87" w:lineRule="exact"/>
        <w:rPr>
          <w:rFonts w:ascii="Times New Roman" w:cs="Times New Roman" w:eastAsia="Times New Roman" w:hAnsi="Times New Roman"/>
          <w:sz w:val="13"/>
          <w:szCs w:val="13"/>
          <w:color w:val="auto"/>
        </w:rPr>
      </w:pPr>
    </w:p>
    <w:p>
      <w:pPr>
        <w:ind w:left="940" w:right="959" w:hanging="227"/>
        <w:spacing w:after="0" w:line="267" w:lineRule="auto"/>
        <w:tabs>
          <w:tab w:leader="none" w:pos="9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further adjustments made in calculating Adjusted EBITDA are those that management consider not to be representative of the underlying operations of the Group and therefore are subjective in nature.</w:t>
      </w:r>
    </w:p>
    <w:p>
      <w:pPr>
        <w:spacing w:after="0" w:line="120" w:lineRule="exact"/>
        <w:rPr>
          <w:sz w:val="20"/>
          <w:szCs w:val="20"/>
          <w:color w:val="auto"/>
        </w:rPr>
      </w:pPr>
    </w:p>
    <w:p>
      <w:pPr>
        <w:ind w:left="640" w:right="71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Net debt </w:t>
      </w:r>
      <w:r>
        <w:rPr>
          <w:rFonts w:ascii="Times New Roman" w:cs="Times New Roman" w:eastAsia="Times New Roman" w:hAnsi="Times New Roman"/>
          <w:sz w:val="13"/>
          <w:szCs w:val="13"/>
          <w:color w:val="auto"/>
        </w:rPr>
        <w:t>is defined as total debt, excluding premiums, discounts, and deferred financing expense, and the effect of foreign exchange that 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economically hedged as a result of our cross-currency interest rate swaps reflecting the net cash outflow on maturity less cash and cash equivalents. We believe net debt is a meaningful financial measure that may assist investors in understanding our financial condition and recognizing underlying trends in our capital structure.</w:t>
      </w:r>
    </w:p>
    <w:p>
      <w:pPr>
        <w:spacing w:after="0" w:line="130" w:lineRule="exact"/>
        <w:rPr>
          <w:sz w:val="20"/>
          <w:szCs w:val="20"/>
          <w:color w:val="auto"/>
        </w:rPr>
      </w:pPr>
    </w:p>
    <w:p>
      <w:pPr>
        <w:ind w:left="640" w:right="71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Leverage ratio </w:t>
      </w:r>
      <w:r>
        <w:rPr>
          <w:rFonts w:ascii="Times New Roman" w:cs="Times New Roman" w:eastAsia="Times New Roman" w:hAnsi="Times New Roman"/>
          <w:sz w:val="13"/>
          <w:szCs w:val="13"/>
          <w:color w:val="auto"/>
        </w:rPr>
        <w:t>is defined as net debt divided by last twelve months adjusted EBITDA. We use this non-GAAP financial measure to evaluate our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financial leverage. We present net debt to adjusted EBITDA because we believe it is more representative of our financial position as it is reflective of our ability to cover our net debt obligations with results from our core operations, and is an indicator of our ability to obtain additional capital resources for our future cash needs. The Leverage Ratio is not a substitute for, and should be used in conjunction with, GAAP financial ratios. Other companies may calculate leverage ratios differently.</w:t>
      </w:r>
    </w:p>
    <w:p>
      <w:pPr>
        <w:spacing w:after="0" w:line="131"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b w:val="1"/>
          <w:bCs w:val="1"/>
          <w:color w:val="auto"/>
        </w:rPr>
        <w:t xml:space="preserve">Free cash flow </w:t>
      </w:r>
      <w:r>
        <w:rPr>
          <w:rFonts w:ascii="Times New Roman" w:cs="Times New Roman" w:eastAsia="Times New Roman" w:hAnsi="Times New Roman"/>
          <w:sz w:val="13"/>
          <w:szCs w:val="13"/>
          <w:color w:val="auto"/>
        </w:rPr>
        <w:t>is defined as net cash provided by (used in) operating activities less payments for property and equipment, intangible assets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capitalized software. </w:t>
      </w:r>
      <w:r>
        <w:rPr>
          <w:rFonts w:ascii="Times New Roman" w:cs="Times New Roman" w:eastAsia="Times New Roman" w:hAnsi="Times New Roman"/>
          <w:sz w:val="13"/>
          <w:szCs w:val="13"/>
          <w:b w:val="1"/>
          <w:bCs w:val="1"/>
          <w:color w:val="auto"/>
        </w:rPr>
        <w:t>Free cash flow including financing capex and excluding player funds</w:t>
      </w:r>
      <w:r>
        <w:rPr>
          <w:rFonts w:ascii="Times New Roman" w:cs="Times New Roman" w:eastAsia="Times New Roman" w:hAnsi="Times New Roman"/>
          <w:sz w:val="13"/>
          <w:szCs w:val="13"/>
          <w:color w:val="auto"/>
        </w:rPr>
        <w:t xml:space="preserve"> is defined as free cash flow less purchases of intangible assets with extended payment terms recognized within cashflows from financing activities, and excluding movements in player deposits - investments and player deposit liabilities. We believe this measure provides additional insight into our ability to generate cash from core operations by including all intangible asset purchases by the Group and by eliminating cash flow movements from player deposit movements, which are not indicative of underlying business performance. These non-GAAP measures may be useful to investors and other users of our financial statements as supplemental measures of our cash performance, but should not be considered in isolation as a measure of residual cash flow available for discretionary purposes, or as an alternative to operating cash flows presented in accordance with GAAP. Free cash flow and free cash flow including financing capex and excluding player funds do not necessarily represent funds available for discretionary use and are not necessarily a measure of our ability to fund our cash needs. Our calculation of free cash flow and free cash flow including financing capex and excluding player funds may differ from similarly titled measures used by other companies, limiting their usefulness as comparative measures.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Adjusted depreciation and amortization </w:t>
      </w:r>
      <w:r>
        <w:rPr>
          <w:rFonts w:ascii="Times New Roman" w:cs="Times New Roman" w:eastAsia="Times New Roman" w:hAnsi="Times New Roman"/>
          <w:sz w:val="13"/>
          <w:szCs w:val="13"/>
          <w:color w:val="auto"/>
        </w:rPr>
        <w:t>is defined as depreciation and amortization excluding amortization of acquired intangibles.</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29"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Balance Sheets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104"/>
        </w:trPr>
        <w:tc>
          <w:tcPr>
            <w:tcW w:w="610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 in millions except share and per share amounts)</w:t>
            </w:r>
          </w:p>
        </w:tc>
        <w:tc>
          <w:tcPr>
            <w:tcW w:w="960" w:type="dxa"/>
            <w:vAlign w:val="bottom"/>
            <w:gridSpan w:val="2"/>
          </w:tcPr>
          <w:p>
            <w:pPr>
              <w:jc w:val="center"/>
              <w:ind w:right="360"/>
              <w:spacing w:after="0" w:line="104" w:lineRule="exact"/>
              <w:rPr>
                <w:sz w:val="20"/>
                <w:szCs w:val="20"/>
                <w:color w:val="auto"/>
              </w:rPr>
            </w:pPr>
            <w:r>
              <w:rPr>
                <w:rFonts w:ascii="Times New Roman" w:cs="Times New Roman" w:eastAsia="Times New Roman" w:hAnsi="Times New Roman"/>
                <w:sz w:val="10"/>
                <w:szCs w:val="10"/>
                <w:b w:val="1"/>
                <w:bCs w:val="1"/>
                <w:color w:val="auto"/>
                <w:w w:val="98"/>
              </w:rPr>
              <w:t>September 30,</w:t>
            </w:r>
          </w:p>
        </w:tc>
        <w:tc>
          <w:tcPr>
            <w:tcW w:w="68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1"/>
        </w:trPr>
        <w:tc>
          <w:tcPr>
            <w:tcW w:w="6100" w:type="dxa"/>
            <w:vAlign w:val="bottom"/>
            <w:tcBorders>
              <w:bottom w:val="single" w:sz="8" w:color="CCEEFF"/>
            </w:tcBorders>
            <w:vMerge w:val="continue"/>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3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1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w:t>
            </w:r>
          </w:p>
        </w:tc>
        <w:tc>
          <w:tcPr>
            <w:tcW w:w="3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1,828</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 – restricted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Player deposits – cash and cash equivalents</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2,117</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1,932</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Player deposits – investments</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129</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190</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899</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751</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4,948</w:t>
            </w:r>
          </w:p>
        </w:tc>
        <w:tc>
          <w:tcPr>
            <w:tcW w:w="36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Investments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544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630</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498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550</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Intangible assets, net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5,952</w:t>
            </w:r>
          </w:p>
        </w:tc>
        <w:tc>
          <w:tcPr>
            <w:tcW w:w="36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7,019</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Goodwill</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15,046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15,825</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tax assets</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281</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non-current assets</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150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27,434</w:t>
            </w:r>
          </w:p>
        </w:tc>
        <w:tc>
          <w:tcPr>
            <w:tcW w:w="36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redeemable non-controlling interests and shareholders’ equity Current liabilities:</w:t>
            </w: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364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386</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Player deposit liability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w:t>
            </w: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1,859</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142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Long-term debt due within one year</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170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2,752</w:t>
            </w:r>
          </w:p>
        </w:tc>
        <w:tc>
          <w:tcPr>
            <w:tcW w:w="36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5,415</w:t>
            </w: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5,043</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liabilities – non-current</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417</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476</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Long-term debt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12,143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12,157</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tax liabilities</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819</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1,105</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372</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801</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19,166</w:t>
            </w:r>
          </w:p>
        </w:tc>
        <w:tc>
          <w:tcPr>
            <w:tcW w:w="36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19,582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Redeemable non-controlling interests</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112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424</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10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auto"/>
              </w:rPr>
              <w:t>Ordinary shares (Authorized 300,000,000 shares of €0.09 (September 30, 2026: $0.10; December 31, 2025:</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1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$0.11) par value each; issued September 30, 2026: 173,820,519 shares; December 31, 2025: 175,224,066</w:t>
            </w: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1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3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w:t>
            </w: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1,989</w:t>
            </w:r>
          </w:p>
        </w:tc>
        <w:tc>
          <w:tcPr>
            <w:tcW w:w="0" w:type="dxa"/>
            <w:vAlign w:val="bottom"/>
          </w:tcPr>
          <w:p>
            <w:pPr>
              <w:spacing w:after="0"/>
              <w:rPr>
                <w:sz w:val="1"/>
                <w:szCs w:val="1"/>
                <w:color w:val="auto"/>
              </w:rPr>
            </w:pPr>
          </w:p>
        </w:tc>
      </w:tr>
      <w:tr>
        <w:trPr>
          <w:trHeight w:val="152"/>
        </w:trPr>
        <w:tc>
          <w:tcPr>
            <w:tcW w:w="6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(1,242)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(1,111)</w:t>
            </w: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Retained earnings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3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8,124</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Flutter Shareholders’ Equity</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7,922</w:t>
            </w:r>
          </w:p>
        </w:tc>
        <w:tc>
          <w:tcPr>
            <w:tcW w:w="36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234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8,156</w:t>
            </w:r>
          </w:p>
        </w:tc>
        <w:tc>
          <w:tcPr>
            <w:tcW w:w="3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 redeemable non-controlling interests and shareholders’ equity</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27,434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29,280</w:t>
            </w:r>
          </w:p>
        </w:tc>
        <w:tc>
          <w:tcPr>
            <w:tcW w:w="0" w:type="dxa"/>
            <w:vAlign w:val="bottom"/>
          </w:tcPr>
          <w:p>
            <w:pPr>
              <w:spacing w:after="0"/>
              <w:rPr>
                <w:sz w:val="1"/>
                <w:szCs w:val="1"/>
                <w:color w:val="auto"/>
              </w:rPr>
            </w:pPr>
          </w:p>
        </w:tc>
      </w:tr>
      <w:tr>
        <w:trPr>
          <w:trHeight w:val="255"/>
        </w:trPr>
        <w:tc>
          <w:tcPr>
            <w:tcW w:w="6100" w:type="dxa"/>
            <w:vAlign w:val="bottom"/>
          </w:tcPr>
          <w:p>
            <w:pPr>
              <w:ind w:left="3800"/>
              <w:spacing w:after="0"/>
              <w:rPr>
                <w:sz w:val="20"/>
                <w:szCs w:val="20"/>
                <w:color w:val="auto"/>
              </w:rPr>
            </w:pPr>
            <w:r>
              <w:rPr>
                <w:rFonts w:ascii="Times New Roman" w:cs="Times New Roman" w:eastAsia="Times New Roman" w:hAnsi="Times New Roman"/>
                <w:sz w:val="13"/>
                <w:szCs w:val="13"/>
                <w:color w:val="auto"/>
              </w:rPr>
              <w:t>18</w:t>
            </w:r>
          </w:p>
        </w:tc>
        <w:tc>
          <w:tcPr>
            <w:tcW w:w="60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Statements of Comprehensive Income</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7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 in millions except share and per share amounts)</w:t>
            </w: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0" w:type="dxa"/>
            <w:vAlign w:val="bottom"/>
          </w:tcPr>
          <w:p>
            <w:pPr>
              <w:spacing w:after="0"/>
              <w:rPr>
                <w:sz w:val="1"/>
                <w:szCs w:val="1"/>
                <w:color w:val="auto"/>
              </w:rPr>
            </w:pPr>
          </w:p>
        </w:tc>
      </w:tr>
      <w:tr>
        <w:trPr>
          <w:trHeight w:val="121"/>
        </w:trPr>
        <w:tc>
          <w:tcPr>
            <w:tcW w:w="6720" w:type="dxa"/>
            <w:vAlign w:val="bottom"/>
            <w:vMerge w:val="continue"/>
          </w:tcPr>
          <w:p>
            <w:pPr>
              <w:spacing w:after="0"/>
              <w:rPr>
                <w:sz w:val="10"/>
                <w:szCs w:val="10"/>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6720" w:type="dxa"/>
            <w:vAlign w:val="bottom"/>
            <w:tcBorders>
              <w:bottom w:val="single" w:sz="8" w:color="CCEEFF"/>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8"/>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160" w:type="dxa"/>
            <w:vAlign w:val="bottom"/>
            <w:tcBorders>
              <w:top w:val="single" w:sz="8" w:color="auto"/>
              <w:bottom w:val="single" w:sz="8" w:color="CCEEFF"/>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67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Revenue</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3,874</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3,794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Cost of sales</w:t>
            </w:r>
          </w:p>
        </w:tc>
        <w:tc>
          <w:tcPr>
            <w:tcW w:w="54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(2,356)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(2,168)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5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1,518</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1,626</w:t>
            </w:r>
          </w:p>
        </w:tc>
        <w:tc>
          <w:tcPr>
            <w:tcW w:w="0" w:type="dxa"/>
            <w:vAlign w:val="bottom"/>
          </w:tcPr>
          <w:p>
            <w:pPr>
              <w:spacing w:after="0"/>
              <w:rPr>
                <w:sz w:val="1"/>
                <w:szCs w:val="1"/>
                <w:color w:val="auto"/>
              </w:rPr>
            </w:pPr>
          </w:p>
        </w:tc>
      </w:tr>
      <w:tr>
        <w:trPr>
          <w:trHeight w:val="152"/>
        </w:trPr>
        <w:tc>
          <w:tcPr>
            <w:tcW w:w="6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Technology, research and development expenses</w:t>
            </w:r>
          </w:p>
        </w:tc>
        <w:tc>
          <w:tcPr>
            <w:tcW w:w="54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(350)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(275)</w:t>
            </w:r>
          </w:p>
        </w:tc>
        <w:tc>
          <w:tcPr>
            <w:tcW w:w="0" w:type="dxa"/>
            <w:vAlign w:val="bottom"/>
          </w:tcPr>
          <w:p>
            <w:pPr>
              <w:spacing w:after="0"/>
              <w:rPr>
                <w:sz w:val="1"/>
                <w:szCs w:val="1"/>
                <w:color w:val="auto"/>
              </w:rPr>
            </w:pPr>
          </w:p>
        </w:tc>
      </w:tr>
      <w:tr>
        <w:trPr>
          <w:trHeight w:val="152"/>
        </w:trPr>
        <w:tc>
          <w:tcPr>
            <w:tcW w:w="6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Sales and marketing expenses</w:t>
            </w:r>
          </w:p>
        </w:tc>
        <w:tc>
          <w:tcPr>
            <w:tcW w:w="5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(1,168)</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(966)</w:t>
            </w:r>
          </w:p>
        </w:tc>
        <w:tc>
          <w:tcPr>
            <w:tcW w:w="0" w:type="dxa"/>
            <w:vAlign w:val="bottom"/>
          </w:tcPr>
          <w:p>
            <w:pPr>
              <w:spacing w:after="0"/>
              <w:rPr>
                <w:sz w:val="1"/>
                <w:szCs w:val="1"/>
                <w:color w:val="auto"/>
              </w:rPr>
            </w:pPr>
          </w:p>
        </w:tc>
      </w:tr>
      <w:tr>
        <w:trPr>
          <w:trHeight w:val="152"/>
        </w:trPr>
        <w:tc>
          <w:tcPr>
            <w:tcW w:w="6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54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(650)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(702)</w:t>
            </w:r>
          </w:p>
        </w:tc>
        <w:tc>
          <w:tcPr>
            <w:tcW w:w="0" w:type="dxa"/>
            <w:vAlign w:val="bottom"/>
          </w:tcPr>
          <w:p>
            <w:pPr>
              <w:spacing w:after="0"/>
              <w:rPr>
                <w:sz w:val="1"/>
                <w:szCs w:val="1"/>
                <w:color w:val="auto"/>
              </w:rPr>
            </w:pPr>
          </w:p>
        </w:tc>
      </w:tr>
      <w:tr>
        <w:trPr>
          <w:trHeight w:val="152"/>
        </w:trPr>
        <w:tc>
          <w:tcPr>
            <w:tcW w:w="6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Goodwill impairment</w:t>
            </w:r>
          </w:p>
        </w:tc>
        <w:tc>
          <w:tcPr>
            <w:tcW w:w="5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(541)</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(517)</w:t>
            </w:r>
          </w:p>
        </w:tc>
        <w:tc>
          <w:tcPr>
            <w:tcW w:w="0" w:type="dxa"/>
            <w:vAlign w:val="bottom"/>
          </w:tcPr>
          <w:p>
            <w:pPr>
              <w:spacing w:after="0"/>
              <w:rPr>
                <w:sz w:val="1"/>
                <w:szCs w:val="1"/>
                <w:color w:val="auto"/>
              </w:rPr>
            </w:pPr>
          </w:p>
        </w:tc>
      </w:tr>
      <w:tr>
        <w:trPr>
          <w:trHeight w:val="151"/>
        </w:trPr>
        <w:tc>
          <w:tcPr>
            <w:tcW w:w="6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(1,191)</w:t>
            </w:r>
          </w:p>
        </w:tc>
        <w:tc>
          <w:tcPr>
            <w:tcW w:w="16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income, net</w:t>
            </w:r>
          </w:p>
        </w:tc>
        <w:tc>
          <w:tcPr>
            <w:tcW w:w="5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107</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52"/>
        </w:trPr>
        <w:tc>
          <w:tcPr>
            <w:tcW w:w="6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expense, net</w:t>
            </w:r>
          </w:p>
        </w:tc>
        <w:tc>
          <w:tcPr>
            <w:tcW w:w="54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(159)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41"/>
        </w:trPr>
        <w:tc>
          <w:tcPr>
            <w:tcW w:w="672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w w:val="94"/>
              </w:rPr>
              <w:t>(1,243)</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(834)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Income tax benefit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6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61"/>
        </w:trPr>
        <w:tc>
          <w:tcPr>
            <w:tcW w:w="672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3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w w:val="94"/>
              </w:rPr>
              <w:t>(1,148)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(789)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72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color w:val="auto"/>
              </w:rPr>
              <w:t>Net loss attributable to non-controlling interests and redeemable non-controlling interests</w:t>
            </w:r>
          </w:p>
        </w:tc>
        <w:tc>
          <w:tcPr>
            <w:tcW w:w="3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(286)</w:t>
            </w:r>
          </w:p>
        </w:tc>
        <w:tc>
          <w:tcPr>
            <w:tcW w:w="160" w:type="dxa"/>
            <w:vAlign w:val="bottom"/>
          </w:tcPr>
          <w:p>
            <w:pPr>
              <w:spacing w:after="0"/>
              <w:rPr>
                <w:sz w:val="12"/>
                <w:szCs w:val="12"/>
                <w:color w:val="auto"/>
              </w:rPr>
            </w:pPr>
          </w:p>
        </w:tc>
        <w:tc>
          <w:tcPr>
            <w:tcW w:w="40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Adjustment of redeemable non-controlling interest to redemption value</w:t>
            </w:r>
          </w:p>
        </w:tc>
        <w:tc>
          <w:tcPr>
            <w:tcW w:w="5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52"/>
        </w:trPr>
        <w:tc>
          <w:tcPr>
            <w:tcW w:w="6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 attributable to Flutter shareholders</w:t>
            </w:r>
          </w:p>
        </w:tc>
        <w:tc>
          <w:tcPr>
            <w:tcW w:w="54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(862)</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(690)</w:t>
            </w:r>
          </w:p>
        </w:tc>
        <w:tc>
          <w:tcPr>
            <w:tcW w:w="0" w:type="dxa"/>
            <w:vAlign w:val="bottom"/>
          </w:tcPr>
          <w:p>
            <w:pPr>
              <w:spacing w:after="0"/>
              <w:rPr>
                <w:sz w:val="1"/>
                <w:szCs w:val="1"/>
                <w:color w:val="auto"/>
              </w:rPr>
            </w:pPr>
          </w:p>
        </w:tc>
      </w:tr>
      <w:tr>
        <w:trPr>
          <w:trHeight w:val="152"/>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per share</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w:t>
            </w:r>
          </w:p>
        </w:tc>
        <w:tc>
          <w:tcPr>
            <w:tcW w:w="54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(4.90)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(3.91)</w:t>
            </w:r>
          </w:p>
        </w:tc>
        <w:tc>
          <w:tcPr>
            <w:tcW w:w="0" w:type="dxa"/>
            <w:vAlign w:val="bottom"/>
          </w:tcPr>
          <w:p>
            <w:pPr>
              <w:spacing w:after="0"/>
              <w:rPr>
                <w:sz w:val="1"/>
                <w:szCs w:val="1"/>
                <w:color w:val="auto"/>
              </w:rPr>
            </w:pPr>
          </w:p>
        </w:tc>
      </w:tr>
      <w:tr>
        <w:trPr>
          <w:trHeight w:val="152"/>
        </w:trPr>
        <w:tc>
          <w:tcPr>
            <w:tcW w:w="6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Diluted</w:t>
            </w:r>
          </w:p>
        </w:tc>
        <w:tc>
          <w:tcPr>
            <w:tcW w:w="5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(4.90)</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(3.91)</w:t>
            </w:r>
          </w:p>
        </w:tc>
        <w:tc>
          <w:tcPr>
            <w:tcW w:w="0" w:type="dxa"/>
            <w:vAlign w:val="bottom"/>
          </w:tcPr>
          <w:p>
            <w:pPr>
              <w:spacing w:after="0"/>
              <w:rPr>
                <w:sz w:val="1"/>
                <w:szCs w:val="1"/>
                <w:color w:val="auto"/>
              </w:rPr>
            </w:pPr>
          </w:p>
        </w:tc>
      </w:tr>
      <w:tr>
        <w:trPr>
          <w:trHeight w:val="152"/>
        </w:trPr>
        <w:tc>
          <w:tcPr>
            <w:tcW w:w="6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comprehensive loss, net of tax:</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Effective portion of changes in fair value of cash flow hedges</w:t>
            </w:r>
          </w:p>
        </w:tc>
        <w:tc>
          <w:tcPr>
            <w:tcW w:w="5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4</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2"/>
        </w:trPr>
        <w:tc>
          <w:tcPr>
            <w:tcW w:w="6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Fair value of cash flow hedges transferred to the income statement</w:t>
            </w:r>
          </w:p>
        </w:tc>
        <w:tc>
          <w:tcPr>
            <w:tcW w:w="54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(2)</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2"/>
        </w:trPr>
        <w:tc>
          <w:tcPr>
            <w:tcW w:w="6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excluded components of fair value hedge</w:t>
            </w:r>
          </w:p>
        </w:tc>
        <w:tc>
          <w:tcPr>
            <w:tcW w:w="5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1</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2"/>
        </w:trPr>
        <w:tc>
          <w:tcPr>
            <w:tcW w:w="6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exchange loss on net investment hedges</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52"/>
        </w:trPr>
        <w:tc>
          <w:tcPr>
            <w:tcW w:w="6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Foreign exchange gain (loss) on translation of the net assets of foreign currency denominated entities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50"/>
        </w:trPr>
        <w:tc>
          <w:tcPr>
            <w:tcW w:w="672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Other comprehensive loss</w:t>
            </w:r>
          </w:p>
        </w:tc>
        <w:tc>
          <w:tcPr>
            <w:tcW w:w="3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5</w:t>
            </w:r>
          </w:p>
        </w:tc>
        <w:tc>
          <w:tcPr>
            <w:tcW w:w="16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(144)</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720" w:type="dxa"/>
            <w:vAlign w:val="bottom"/>
            <w:shd w:val="clear" w:color="auto" w:fill="CCEEFF"/>
          </w:tcPr>
          <w:p>
            <w:pPr>
              <w:ind w:left="260"/>
              <w:spacing w:after="0" w:line="146" w:lineRule="exact"/>
              <w:rPr>
                <w:sz w:val="20"/>
                <w:szCs w:val="20"/>
                <w:color w:val="auto"/>
              </w:rPr>
            </w:pPr>
            <w:r>
              <w:rPr>
                <w:rFonts w:ascii="Times New Roman" w:cs="Times New Roman" w:eastAsia="Times New Roman" w:hAnsi="Times New Roman"/>
                <w:sz w:val="13"/>
                <w:szCs w:val="13"/>
                <w:color w:val="auto"/>
              </w:rPr>
              <w:t>Other comprehensive income attributable to Flutter shareholders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7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comprehensive (loss) income attributable to non-controlling interest and redeemable non-controlling interest</w:t>
            </w:r>
          </w:p>
        </w:tc>
        <w:tc>
          <w:tcPr>
            <w:tcW w:w="54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(1)</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50"/>
        </w:trPr>
        <w:tc>
          <w:tcPr>
            <w:tcW w:w="6720" w:type="dxa"/>
            <w:vAlign w:val="bottom"/>
            <w:tcBorders>
              <w:top w:val="single" w:sz="8" w:color="CCEEFF"/>
            </w:tcBorders>
            <w:shd w:val="clear" w:color="auto" w:fill="CCEEFF"/>
          </w:tcPr>
          <w:p>
            <w:pPr>
              <w:ind w:left="260"/>
              <w:spacing w:after="0" w:line="141"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3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(1,143</w:t>
            </w:r>
          </w:p>
        </w:tc>
        <w:tc>
          <w:tcPr>
            <w:tcW w:w="160" w:type="dxa"/>
            <w:vAlign w:val="bottom"/>
            <w:tcBorders>
              <w:top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(933)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6720" w:type="dxa"/>
            <w:vAlign w:val="bottom"/>
          </w:tcPr>
          <w:p>
            <w:pPr>
              <w:ind w:left="3800"/>
              <w:spacing w:after="0"/>
              <w:rPr>
                <w:sz w:val="20"/>
                <w:szCs w:val="20"/>
                <w:color w:val="auto"/>
              </w:rPr>
            </w:pPr>
            <w:r>
              <w:rPr>
                <w:rFonts w:ascii="Times New Roman" w:cs="Times New Roman" w:eastAsia="Times New Roman" w:hAnsi="Times New Roman"/>
                <w:sz w:val="13"/>
                <w:szCs w:val="13"/>
                <w:color w:val="auto"/>
              </w:rPr>
              <w:t>19</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Condensed Consolidated Statements of Cash Flows</w:t>
      </w:r>
      <w:r>
        <w:rPr>
          <w:rFonts w:ascii="Times New Roman" w:cs="Times New Roman" w:eastAsia="Times New Roman" w:hAnsi="Times New Roman"/>
          <w:sz w:val="18"/>
          <w:szCs w:val="18"/>
          <w:b w:val="1"/>
          <w:bCs w:val="1"/>
          <w:color w:val="auto"/>
          <w:vertAlign w:val="superscript"/>
        </w:rPr>
        <w:t>1</w:t>
      </w:r>
    </w:p>
    <w:p>
      <w:pPr>
        <w:spacing w:after="0" w:line="103"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0" w:type="dxa"/>
            <w:vAlign w:val="bottom"/>
          </w:tcPr>
          <w:p>
            <w:pPr>
              <w:spacing w:after="0"/>
              <w:rPr>
                <w:sz w:val="1"/>
                <w:szCs w:val="1"/>
                <w:color w:val="auto"/>
              </w:rPr>
            </w:pPr>
          </w:p>
        </w:tc>
      </w:tr>
      <w:tr>
        <w:trPr>
          <w:trHeight w:val="121"/>
        </w:trPr>
        <w:tc>
          <w:tcPr>
            <w:tcW w:w="37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 in millions)</w:t>
            </w:r>
          </w:p>
        </w:tc>
        <w:tc>
          <w:tcPr>
            <w:tcW w:w="2960" w:type="dxa"/>
            <w:vAlign w:val="bottom"/>
          </w:tcPr>
          <w:p>
            <w:pPr>
              <w:spacing w:after="0"/>
              <w:rPr>
                <w:sz w:val="10"/>
                <w:szCs w:val="10"/>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3760" w:type="dxa"/>
            <w:vAlign w:val="bottom"/>
            <w:tcBorders>
              <w:bottom w:val="single" w:sz="8" w:color="CCEEFF"/>
            </w:tcBorders>
            <w:vMerge w:val="continue"/>
          </w:tcPr>
          <w:p>
            <w:pPr>
              <w:spacing w:after="0"/>
              <w:rPr>
                <w:sz w:val="8"/>
                <w:szCs w:val="8"/>
                <w:color w:val="auto"/>
              </w:rPr>
            </w:pPr>
          </w:p>
        </w:tc>
        <w:tc>
          <w:tcPr>
            <w:tcW w:w="2960" w:type="dxa"/>
            <w:vAlign w:val="bottom"/>
            <w:tcBorders>
              <w:bottom w:val="single" w:sz="8" w:color="CCEEFF"/>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20"/>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160" w:type="dxa"/>
            <w:vAlign w:val="bottom"/>
            <w:tcBorders>
              <w:top w:val="single" w:sz="8" w:color="auto"/>
              <w:bottom w:val="single" w:sz="8" w:color="CCEEFF"/>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37"/>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7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9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7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3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(1,148)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(789)</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Adjustments to reconcile net income to net cash from operating activities:</w:t>
            </w:r>
          </w:p>
        </w:tc>
        <w:tc>
          <w:tcPr>
            <w:tcW w:w="2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5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405</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Impairment loss</w:t>
            </w:r>
          </w:p>
        </w:tc>
        <w:tc>
          <w:tcPr>
            <w:tcW w:w="3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873</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559</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 in fair value of derivatives</w:t>
            </w:r>
          </w:p>
        </w:tc>
        <w:tc>
          <w:tcPr>
            <w:tcW w:w="35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Non-cash interest expense, net</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Non-cash operating lease expense</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6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Unrealized foreign currency exchange loss (gain), net</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on disposals</w:t>
            </w:r>
          </w:p>
        </w:tc>
        <w:tc>
          <w:tcPr>
            <w:tcW w:w="3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Share-based compensation – equity classified</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Share-based compensation – liability classified</w:t>
            </w:r>
          </w:p>
        </w:tc>
        <w:tc>
          <w:tcPr>
            <w:tcW w:w="3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income, net</w:t>
            </w:r>
          </w:p>
        </w:tc>
        <w:tc>
          <w:tcPr>
            <w:tcW w:w="3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(121)</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tax benefit</w:t>
            </w:r>
          </w:p>
        </w:tc>
        <w:tc>
          <w:tcPr>
            <w:tcW w:w="3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(149)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on extinguishment</w:t>
            </w:r>
          </w:p>
        </w:tc>
        <w:tc>
          <w:tcPr>
            <w:tcW w:w="29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2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Player deposits - investments</w:t>
            </w:r>
          </w:p>
        </w:tc>
        <w:tc>
          <w:tcPr>
            <w:tcW w:w="3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296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6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liabilities</w:t>
            </w:r>
          </w:p>
        </w:tc>
        <w:tc>
          <w:tcPr>
            <w:tcW w:w="3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110</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Player deposit liability</w:t>
            </w:r>
          </w:p>
        </w:tc>
        <w:tc>
          <w:tcPr>
            <w:tcW w:w="35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107</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leases liabilities</w:t>
            </w:r>
          </w:p>
        </w:tc>
        <w:tc>
          <w:tcPr>
            <w:tcW w:w="3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(39)</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51"/>
        </w:trPr>
        <w:tc>
          <w:tcPr>
            <w:tcW w:w="3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296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211</w:t>
            </w:r>
          </w:p>
        </w:tc>
        <w:tc>
          <w:tcPr>
            <w:tcW w:w="16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3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(20)</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Purchases of intangible assets</w:t>
            </w:r>
          </w:p>
        </w:tc>
        <w:tc>
          <w:tcPr>
            <w:tcW w:w="3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Capitalized software</w:t>
            </w:r>
          </w:p>
        </w:tc>
        <w:tc>
          <w:tcPr>
            <w:tcW w:w="3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(142)</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settlement of derivatives designated in net investment hedge</w:t>
            </w:r>
          </w:p>
        </w:tc>
        <w:tc>
          <w:tcPr>
            <w:tcW w:w="3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29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9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(182)</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(170)</w:t>
            </w:r>
          </w:p>
        </w:tc>
        <w:tc>
          <w:tcPr>
            <w:tcW w:w="0" w:type="dxa"/>
            <w:vAlign w:val="bottom"/>
          </w:tcPr>
          <w:p>
            <w:pPr>
              <w:spacing w:after="0"/>
              <w:rPr>
                <w:sz w:val="1"/>
                <w:szCs w:val="1"/>
                <w:color w:val="auto"/>
              </w:rPr>
            </w:pPr>
          </w:p>
        </w:tc>
      </w:tr>
      <w:tr>
        <w:trPr>
          <w:trHeight w:val="152"/>
        </w:trPr>
        <w:tc>
          <w:tcPr>
            <w:tcW w:w="3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issue of ordinary share upon exercise of options</w:t>
            </w:r>
          </w:p>
        </w:tc>
        <w:tc>
          <w:tcPr>
            <w:tcW w:w="29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8"/>
              </w:rPr>
              <w:t>Proceeds from issuance of long-term debt (net of transactions costs)</w:t>
            </w:r>
          </w:p>
        </w:tc>
        <w:tc>
          <w:tcPr>
            <w:tcW w:w="35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765</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4,080</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8"/>
              </w:rPr>
              <w:t>Transaction costs with third parties from issuance of long-term debt</w:t>
            </w:r>
          </w:p>
        </w:tc>
        <w:tc>
          <w:tcPr>
            <w:tcW w:w="29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3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(476)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(1,914)</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Acquisition of redeemable non-controlling interests</w:t>
            </w:r>
          </w:p>
        </w:tc>
        <w:tc>
          <w:tcPr>
            <w:tcW w:w="29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(1,620)</w:t>
            </w:r>
          </w:p>
        </w:tc>
        <w:tc>
          <w:tcPr>
            <w:tcW w:w="0" w:type="dxa"/>
            <w:vAlign w:val="bottom"/>
          </w:tcPr>
          <w:p>
            <w:pPr>
              <w:spacing w:after="0"/>
              <w:rPr>
                <w:sz w:val="1"/>
                <w:szCs w:val="1"/>
                <w:color w:val="auto"/>
              </w:rPr>
            </w:pPr>
          </w:p>
        </w:tc>
      </w:tr>
      <w:tr>
        <w:trPr>
          <w:trHeight w:val="152"/>
        </w:trPr>
        <w:tc>
          <w:tcPr>
            <w:tcW w:w="3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35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Purchases of intangible assets with extended payment terms</w:t>
            </w:r>
          </w:p>
        </w:tc>
        <w:tc>
          <w:tcPr>
            <w:tcW w:w="3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2"/>
                <w:szCs w:val="22"/>
                <w:color w:val="auto"/>
              </w:rPr>
            </w:pPr>
          </w:p>
        </w:tc>
        <w:tc>
          <w:tcPr>
            <w:tcW w:w="2960" w:type="dxa"/>
            <w:vAlign w:val="bottom"/>
          </w:tcPr>
          <w:p>
            <w:pPr>
              <w:jc w:val="right"/>
              <w:ind w:right="2737"/>
              <w:spacing w:after="0"/>
              <w:rPr>
                <w:sz w:val="20"/>
                <w:szCs w:val="20"/>
                <w:color w:val="auto"/>
              </w:rPr>
            </w:pPr>
            <w:r>
              <w:rPr>
                <w:rFonts w:ascii="Times New Roman" w:cs="Times New Roman" w:eastAsia="Times New Roman" w:hAnsi="Times New Roman"/>
                <w:sz w:val="13"/>
                <w:szCs w:val="13"/>
                <w:color w:val="auto"/>
              </w:rPr>
              <w:t>20</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52"/>
        </w:trPr>
        <w:tc>
          <w:tcPr>
            <w:tcW w:w="6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Repurchase of ordinary shares and taxes withheld and paid on employee share awards</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(261)</w:t>
            </w:r>
          </w:p>
        </w:tc>
      </w:tr>
      <w:tr>
        <w:trPr>
          <w:trHeight w:val="152"/>
        </w:trPr>
        <w:tc>
          <w:tcPr>
            <w:tcW w:w="6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issuance of equity to non-controlling interest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r>
      <w:tr>
        <w:trPr>
          <w:trHeight w:val="15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270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255</w:t>
            </w:r>
          </w:p>
        </w:tc>
      </w:tr>
      <w:tr>
        <w:trPr>
          <w:trHeight w:val="151"/>
        </w:trPr>
        <w:tc>
          <w:tcPr>
            <w:tcW w:w="6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299</w:t>
            </w:r>
          </w:p>
        </w:tc>
        <w:tc>
          <w:tcPr>
            <w:tcW w:w="120" w:type="dxa"/>
            <w:vAlign w:val="bottom"/>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294</w:t>
            </w:r>
          </w:p>
        </w:tc>
        <w:tc>
          <w:tcPr>
            <w:tcW w:w="80" w:type="dxa"/>
            <w:vAlign w:val="bottom"/>
          </w:tcPr>
          <w:p>
            <w:pPr>
              <w:spacing w:after="0"/>
              <w:rPr>
                <w:sz w:val="13"/>
                <w:szCs w:val="13"/>
                <w:color w:val="auto"/>
              </w:rPr>
            </w:pPr>
          </w:p>
        </w:tc>
      </w:tr>
      <w:tr>
        <w:trPr>
          <w:trHeight w:val="152"/>
        </w:trPr>
        <w:tc>
          <w:tcPr>
            <w:tcW w:w="6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cash equivalents and restricted cash – Beginning of the period</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3,621</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3,515</w:t>
            </w:r>
          </w:p>
        </w:tc>
      </w:tr>
      <w:tr>
        <w:trPr>
          <w:trHeight w:val="152"/>
        </w:trPr>
        <w:tc>
          <w:tcPr>
            <w:tcW w:w="6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currency exchange gain (loss) on cash and cash equivalents</w:t>
            </w: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(75)</w:t>
            </w:r>
          </w:p>
        </w:tc>
      </w:tr>
      <w:tr>
        <w:trPr>
          <w:trHeight w:val="15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 End of the period</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3,920</w:t>
            </w:r>
          </w:p>
        </w:tc>
        <w:tc>
          <w:tcPr>
            <w:tcW w:w="12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3,734</w:t>
            </w:r>
          </w:p>
        </w:tc>
        <w:tc>
          <w:tcPr>
            <w:tcW w:w="80" w:type="dxa"/>
            <w:vAlign w:val="bottom"/>
            <w:shd w:val="clear" w:color="auto" w:fill="CCEEFF"/>
          </w:tcPr>
          <w:p>
            <w:pPr>
              <w:spacing w:after="0"/>
              <w:rPr>
                <w:sz w:val="13"/>
                <w:szCs w:val="13"/>
                <w:color w:val="auto"/>
              </w:rPr>
            </w:pPr>
          </w:p>
        </w:tc>
      </w:tr>
      <w:tr>
        <w:trPr>
          <w:trHeight w:val="152"/>
        </w:trPr>
        <w:tc>
          <w:tcPr>
            <w:tcW w:w="6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comprise of:</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1,708</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1,727</w:t>
            </w:r>
          </w:p>
        </w:tc>
      </w:tr>
      <w:tr>
        <w:trPr>
          <w:trHeight w:val="152"/>
        </w:trPr>
        <w:tc>
          <w:tcPr>
            <w:tcW w:w="6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and cash equivalents - restricted</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6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Player deposits - cash &amp; cash equivalents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2,117</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1,939</w:t>
            </w:r>
          </w:p>
        </w:tc>
      </w:tr>
      <w:tr>
        <w:trPr>
          <w:trHeight w:val="159"/>
        </w:trPr>
        <w:tc>
          <w:tcPr>
            <w:tcW w:w="6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 End of the period</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3,920</w:t>
            </w: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3,734</w:t>
            </w:r>
          </w:p>
        </w:tc>
        <w:tc>
          <w:tcPr>
            <w:tcW w:w="80" w:type="dxa"/>
            <w:vAlign w:val="bottom"/>
          </w:tcPr>
          <w:p>
            <w:pPr>
              <w:spacing w:after="0"/>
              <w:rPr>
                <w:sz w:val="13"/>
                <w:szCs w:val="13"/>
                <w:color w:val="auto"/>
              </w:rPr>
            </w:pPr>
          </w:p>
        </w:tc>
      </w:tr>
      <w:tr>
        <w:trPr>
          <w:trHeight w:val="16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6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paid</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104</w:t>
            </w:r>
          </w:p>
        </w:tc>
      </w:tr>
      <w:tr>
        <w:trPr>
          <w:trHeight w:val="152"/>
        </w:trPr>
        <w:tc>
          <w:tcPr>
            <w:tcW w:w="6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Income tax paid (net of refunds)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134</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6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cash flows from operating leases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900" w:type="dxa"/>
            <w:vAlign w:val="bottom"/>
          </w:tcPr>
          <w:p>
            <w:pPr>
              <w:ind w:left="260"/>
              <w:spacing w:after="0" w:line="152" w:lineRule="exact"/>
              <w:rPr>
                <w:sz w:val="20"/>
                <w:szCs w:val="20"/>
                <w:color w:val="auto"/>
              </w:rPr>
            </w:pPr>
            <w:r>
              <w:rPr>
                <w:rFonts w:ascii="Times New Roman" w:cs="Times New Roman" w:eastAsia="Times New Roman" w:hAnsi="Times New Roman"/>
                <w:sz w:val="12"/>
                <w:szCs w:val="12"/>
                <w:color w:val="auto"/>
              </w:rPr>
              <w:t>Purchase of long lived assets with accrued expense - investing</w:t>
            </w:r>
            <w:r>
              <w:rPr>
                <w:rFonts w:ascii="Times New Roman" w:cs="Times New Roman" w:eastAsia="Times New Roman" w:hAnsi="Times New Roman"/>
                <w:sz w:val="17"/>
                <w:szCs w:val="17"/>
                <w:color w:val="auto"/>
                <w:vertAlign w:val="superscript"/>
              </w:rPr>
              <w:t>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690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Purchase of long lived assets with accrued expense - financing</w:t>
            </w:r>
            <w:r>
              <w:rPr>
                <w:rFonts w:ascii="Times New Roman" w:cs="Times New Roman" w:eastAsia="Times New Roman" w:hAnsi="Times New Roman"/>
                <w:sz w:val="17"/>
                <w:szCs w:val="17"/>
                <w:color w:val="auto"/>
                <w:vertAlign w:val="superscript"/>
              </w:rPr>
              <w:t>2</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Right of use assets obtained in exchange for new operating lease liabilities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6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Adjustments to lease balances as a result of remeasurement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w:t>
            </w:r>
          </w:p>
        </w:tc>
      </w:tr>
      <w:tr>
        <w:trPr>
          <w:trHeight w:val="152"/>
        </w:trPr>
        <w:tc>
          <w:tcPr>
            <w:tcW w:w="6900" w:type="dxa"/>
            <w:vAlign w:val="bottom"/>
          </w:tcPr>
          <w:p>
            <w:pPr>
              <w:ind w:left="260"/>
              <w:spacing w:after="0" w:line="152" w:lineRule="exact"/>
              <w:rPr>
                <w:sz w:val="20"/>
                <w:szCs w:val="20"/>
                <w:color w:val="auto"/>
              </w:rPr>
            </w:pPr>
            <w:r>
              <w:rPr>
                <w:rFonts w:ascii="Times New Roman" w:cs="Times New Roman" w:eastAsia="Times New Roman" w:hAnsi="Times New Roman"/>
                <w:sz w:val="12"/>
                <w:szCs w:val="12"/>
                <w:color w:val="auto"/>
              </w:rPr>
              <w:t>Non-cash issuance of common stock upon exercise of options</w:t>
            </w:r>
            <w:r>
              <w:rPr>
                <w:rFonts w:ascii="Times New Roman" w:cs="Times New Roman" w:eastAsia="Times New Roman" w:hAnsi="Times New Roman"/>
                <w:sz w:val="17"/>
                <w:szCs w:val="17"/>
                <w:color w:val="auto"/>
                <w:vertAlign w:val="superscript"/>
              </w:rPr>
              <w:t>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6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Non-cash transaction costs on issuance of long-term debt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w:t>
            </w:r>
          </w:p>
        </w:tc>
      </w:tr>
      <w:tr>
        <w:trPr>
          <w:trHeight w:val="165"/>
        </w:trPr>
        <w:tc>
          <w:tcPr>
            <w:tcW w:w="69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Asset retirement obligation</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r>
    </w:tbl>
    <w:p>
      <w:pPr>
        <w:spacing w:after="0" w:line="145" w:lineRule="exact"/>
        <w:rPr>
          <w:sz w:val="20"/>
          <w:szCs w:val="20"/>
          <w:color w:val="auto"/>
        </w:rPr>
      </w:pPr>
    </w:p>
    <w:p>
      <w:pPr>
        <w:ind w:left="940" w:right="779" w:hanging="303"/>
        <w:spacing w:after="0" w:line="250" w:lineRule="auto"/>
        <w:tabs>
          <w:tab w:leader="none" w:pos="9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Condensed Consolidated Statements of Cash Flows for the three months ended September 30, 2026 is derived by subtracting the cash flows from the six months ended June 30, 2026 from the cash flows for the nine months ended September 30, 2026. As such it does not reflect the settlement of pre-existing relationships for which Flutter has recognized an asset.</w:t>
      </w:r>
    </w:p>
    <w:p>
      <w:pPr>
        <w:ind w:left="940" w:hanging="303"/>
        <w:spacing w:after="0"/>
        <w:tabs>
          <w:tab w:leader="none" w:pos="9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Figures represent the closing position at the end of the reporting period and not the movement during the period.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44" w:right="1440"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Reconciliations of non-GAAP financial measures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Adjusted EBITDA reconciliation</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See below a reconciliation of Adjusted EBITDA and Adjusted EBITDA Margin to net income, the most comparable GAAP measure.</w:t>
      </w:r>
    </w:p>
    <w:p>
      <w:pPr>
        <w:spacing w:after="0" w:line="158"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0" w:type="dxa"/>
            <w:vAlign w:val="bottom"/>
          </w:tcPr>
          <w:p>
            <w:pPr>
              <w:spacing w:after="0"/>
              <w:rPr>
                <w:sz w:val="1"/>
                <w:szCs w:val="1"/>
                <w:color w:val="auto"/>
              </w:rPr>
            </w:pPr>
          </w:p>
        </w:tc>
      </w:tr>
      <w:tr>
        <w:trPr>
          <w:trHeight w:val="121"/>
        </w:trPr>
        <w:tc>
          <w:tcPr>
            <w:tcW w:w="470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 in millions)</w:t>
            </w:r>
          </w:p>
        </w:tc>
        <w:tc>
          <w:tcPr>
            <w:tcW w:w="1180" w:type="dxa"/>
            <w:vAlign w:val="bottom"/>
            <w:gridSpan w:val="4"/>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4700" w:type="dxa"/>
            <w:vAlign w:val="bottom"/>
            <w:tcBorders>
              <w:bottom w:val="single" w:sz="8" w:color="CCEEFF"/>
            </w:tcBorders>
            <w:vMerge w:val="continue"/>
          </w:tcPr>
          <w:p>
            <w:pPr>
              <w:spacing w:after="0"/>
              <w:rPr>
                <w:sz w:val="8"/>
                <w:szCs w:val="8"/>
                <w:color w:val="auto"/>
              </w:rPr>
            </w:pPr>
          </w:p>
        </w:tc>
        <w:tc>
          <w:tcPr>
            <w:tcW w:w="380" w:type="dxa"/>
            <w:vAlign w:val="bottom"/>
            <w:tcBorders>
              <w:top w:val="single" w:sz="8" w:color="auto"/>
              <w:bottom w:val="single" w:sz="8" w:color="auto"/>
            </w:tcBorders>
          </w:tcPr>
          <w:p>
            <w:pPr>
              <w:jc w:val="right"/>
              <w:ind w:right="19"/>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320" w:type="dxa"/>
            <w:vAlign w:val="bottom"/>
            <w:tcBorders>
              <w:top w:val="single" w:sz="8" w:color="auto"/>
              <w:bottom w:val="single" w:sz="8" w:color="CCEEFF"/>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1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7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w w:val="94"/>
              </w:rPr>
              <w:t>(1,148)</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(789)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Add back:</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benefit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(95)</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net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net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159</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405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3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52"/>
        </w:trPr>
        <w:tc>
          <w:tcPr>
            <w:tcW w:w="470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 xml:space="preserve">Transaction fees and associated costs </w:t>
            </w:r>
            <w:r>
              <w:rPr>
                <w:rFonts w:ascii="Times New Roman" w:cs="Times New Roman" w:eastAsia="Times New Roman" w:hAnsi="Times New Roman"/>
                <w:sz w:val="17"/>
                <w:szCs w:val="17"/>
                <w:color w:val="auto"/>
                <w:vertAlign w:val="superscript"/>
              </w:rPr>
              <w:t>1</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 xml:space="preserve">Restructuring and integration costs </w:t>
            </w:r>
            <w:r>
              <w:rPr>
                <w:rFonts w:ascii="Times New Roman" w:cs="Times New Roman" w:eastAsia="Times New Roman" w:hAnsi="Times New Roman"/>
                <w:sz w:val="17"/>
                <w:szCs w:val="17"/>
                <w:color w:val="auto"/>
                <w:vertAlign w:val="superscript"/>
              </w:rPr>
              <w:t>2</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108</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52"/>
        </w:trPr>
        <w:tc>
          <w:tcPr>
            <w:tcW w:w="470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 xml:space="preserve">Legal loss contingencies </w:t>
            </w:r>
            <w:r>
              <w:rPr>
                <w:rFonts w:ascii="Times New Roman" w:cs="Times New Roman" w:eastAsia="Times New Roman" w:hAnsi="Times New Roman"/>
                <w:sz w:val="17"/>
                <w:szCs w:val="17"/>
                <w:color w:val="auto"/>
                <w:vertAlign w:val="superscript"/>
              </w:rPr>
              <w:t>3</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105</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 xml:space="preserve">Impairment </w:t>
            </w:r>
            <w:r>
              <w:rPr>
                <w:rFonts w:ascii="Times New Roman" w:cs="Times New Roman" w:eastAsia="Times New Roman" w:hAnsi="Times New Roman"/>
                <w:sz w:val="17"/>
                <w:szCs w:val="17"/>
                <w:color w:val="auto"/>
                <w:vertAlign w:val="superscript"/>
              </w:rPr>
              <w:t>4</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873</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559</w:t>
            </w:r>
          </w:p>
        </w:tc>
        <w:tc>
          <w:tcPr>
            <w:tcW w:w="0" w:type="dxa"/>
            <w:vAlign w:val="bottom"/>
          </w:tcPr>
          <w:p>
            <w:pPr>
              <w:spacing w:after="0"/>
              <w:rPr>
                <w:sz w:val="1"/>
                <w:szCs w:val="1"/>
                <w:color w:val="auto"/>
              </w:rPr>
            </w:pPr>
          </w:p>
        </w:tc>
      </w:tr>
      <w:tr>
        <w:trPr>
          <w:trHeight w:val="164"/>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Group Adjusted EBITDA</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360</w:t>
            </w:r>
          </w:p>
        </w:tc>
        <w:tc>
          <w:tcPr>
            <w:tcW w:w="3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Group Revenue</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3,874</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3,794</w:t>
            </w:r>
          </w:p>
        </w:tc>
        <w:tc>
          <w:tcPr>
            <w:tcW w:w="0" w:type="dxa"/>
            <w:vAlign w:val="bottom"/>
          </w:tcPr>
          <w:p>
            <w:pPr>
              <w:spacing w:after="0"/>
              <w:rPr>
                <w:sz w:val="1"/>
                <w:szCs w:val="1"/>
                <w:color w:val="auto"/>
              </w:rPr>
            </w:pPr>
          </w:p>
        </w:tc>
      </w:tr>
      <w:tr>
        <w:trPr>
          <w:trHeight w:val="167"/>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Group Adjusted EBITDA Margin</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9.3%</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12.6%</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940" w:hanging="303"/>
        <w:spacing w:after="0"/>
        <w:tabs>
          <w:tab w:leader="none" w:pos="9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three months ended September 30, 2025 transaction costs of $204 million primarily relate to the Boyd market access payment</w:t>
      </w:r>
    </w:p>
    <w:p>
      <w:pPr>
        <w:spacing w:after="0" w:line="15" w:lineRule="exact"/>
        <w:rPr>
          <w:rFonts w:ascii="Times New Roman" w:cs="Times New Roman" w:eastAsia="Times New Roman" w:hAnsi="Times New Roman"/>
          <w:sz w:val="13"/>
          <w:szCs w:val="13"/>
          <w:color w:val="auto"/>
        </w:rPr>
      </w:pPr>
    </w:p>
    <w:p>
      <w:pPr>
        <w:ind w:left="940" w:right="679" w:hanging="303"/>
        <w:spacing w:after="0" w:line="243" w:lineRule="auto"/>
        <w:tabs>
          <w:tab w:leader="none" w:pos="9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primarily relate to various restructuring, acquisition integration and other strategic initiatives to drive synergies. The programs are expected to run until 2029. These actions include efforts to consolidate and integrate our technology infrastructure, back-office functions and relocate certain operations to lower cost locations. It also includes business process re-engineering cost, planning and design of target operating models for the Group’s enabling functions and discovery and planning related to the Group’s anticipated migration to a new enterprise resource planning system. The costs primarily include severance expenses, advisory fees and temporary staffing costs.</w:t>
      </w:r>
    </w:p>
    <w:p>
      <w:pPr>
        <w:spacing w:after="0" w:line="1" w:lineRule="exact"/>
        <w:rPr>
          <w:rFonts w:ascii="Times New Roman" w:cs="Times New Roman" w:eastAsia="Times New Roman" w:hAnsi="Times New Roman"/>
          <w:sz w:val="13"/>
          <w:szCs w:val="13"/>
          <w:color w:val="auto"/>
        </w:rPr>
      </w:pPr>
    </w:p>
    <w:p>
      <w:pPr>
        <w:ind w:left="940" w:right="819" w:hanging="303"/>
        <w:spacing w:after="0" w:line="243" w:lineRule="auto"/>
        <w:tabs>
          <w:tab w:leader="none" w:pos="9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three months ended September 30, 2026, $105 million relates to a provision recognized to facilitate a potential resolution of the Fast Code Class Action, partially offset by an adjustment in connection with the Indian GST matter.</w:t>
      </w:r>
    </w:p>
    <w:p>
      <w:pPr>
        <w:ind w:left="940" w:right="659" w:hanging="303"/>
        <w:spacing w:after="0" w:line="243" w:lineRule="auto"/>
        <w:tabs>
          <w:tab w:leader="none" w:pos="9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three months ended September 30, 2026, the Group recognized impairment charges of $873 million related to Brazil within the International segment, due to the previously disclosed challenging trading environment driven by Government implemented socio-economic measures together with the Measure announced on September 25, 2026 banning fixed-odds sports betting and online gaming. Out of the total impairment charge of $873 million, $296 million is related to long-lived assets and $541 million is related to goodwill. The long-lived asset impairment charges primarily included $122 million related to the trademark, $108 million related to customer relationships, $31 million related to technology, and $22 million related to capitalized development costs. The impairment charges related to trademark and customer relationships were recognized in sales and marketing expenses; technology and capitalized development costs in technology, research and development expenses; license cost in cost of sales. The impairment charges related to property, plant and equipment and right-of-use assets were recognized in general and administrative expenses.</w:t>
      </w:r>
    </w:p>
    <w:p>
      <w:pPr>
        <w:spacing w:after="0" w:line="65" w:lineRule="exact"/>
        <w:rPr>
          <w:rFonts w:ascii="Times New Roman" w:cs="Times New Roman" w:eastAsia="Times New Roman" w:hAnsi="Times New Roman"/>
          <w:sz w:val="13"/>
          <w:szCs w:val="13"/>
          <w:color w:val="auto"/>
        </w:rPr>
      </w:pPr>
    </w:p>
    <w:p>
      <w:pPr>
        <w:ind w:left="940" w:right="679"/>
        <w:spacing w:after="0" w:line="24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three months ended September 30, 2025, the Group recognized impairment charges of $559 million mainly related to Junglee. The Promotion and Regulation of Online Gaming Act, 2025 (the “Act”), which was passed by the Indian Parliament and received Presidential assent on August 22, 2025, banned all forms of online real money gaming in India. As a result of the Act, from August 22, 2025, Junglee Games Inc (“Junglee,” “Junglee Games”) ceased offering all real-money games in India. The Junglee impairment charge is $556 million before income taxes. The assets impaired substantially consists of goodwill of $517 million, acquired and developed intangibles of $32 million and other long-lived assets of $7 million. The $517 million of goodwill impaired is not deductible for tax purposes, and therefore there is no income tax benefit. Income tax impacts arising for acquired and developed intangibles and other long-lived assets are not material.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29"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Adjusted net income attributable to Flutter shareholders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See below a reconciliation of Adjusted net income attributable to Flutter shareholders to net income (loss), the most comparable GAAP measure.</w:t>
      </w:r>
    </w:p>
    <w:p>
      <w:pPr>
        <w:spacing w:after="0" w:line="158"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880" w:type="dxa"/>
            <w:vAlign w:val="bottom"/>
          </w:tcPr>
          <w:p>
            <w:pPr>
              <w:spacing w:after="0"/>
              <w:rPr>
                <w:sz w:val="10"/>
                <w:szCs w:val="10"/>
                <w:color w:val="auto"/>
              </w:rPr>
            </w:pP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0" w:type="dxa"/>
            <w:vAlign w:val="bottom"/>
          </w:tcPr>
          <w:p>
            <w:pPr>
              <w:spacing w:after="0"/>
              <w:rPr>
                <w:sz w:val="1"/>
                <w:szCs w:val="1"/>
                <w:color w:val="auto"/>
              </w:rPr>
            </w:pPr>
          </w:p>
        </w:tc>
      </w:tr>
      <w:tr>
        <w:trPr>
          <w:trHeight w:val="121"/>
        </w:trPr>
        <w:tc>
          <w:tcPr>
            <w:tcW w:w="488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 in millions)</w:t>
            </w:r>
          </w:p>
        </w:tc>
        <w:tc>
          <w:tcPr>
            <w:tcW w:w="1000" w:type="dxa"/>
            <w:vAlign w:val="bottom"/>
            <w:gridSpan w:val="5"/>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4880" w:type="dxa"/>
            <w:vAlign w:val="bottom"/>
            <w:tcBorders>
              <w:bottom w:val="single" w:sz="8" w:color="CCEEFF"/>
            </w:tcBorders>
            <w:vMerge w:val="continue"/>
          </w:tcPr>
          <w:p>
            <w:pPr>
              <w:spacing w:after="0"/>
              <w:rPr>
                <w:sz w:val="8"/>
                <w:szCs w:val="8"/>
                <w:color w:val="auto"/>
              </w:rPr>
            </w:pPr>
          </w:p>
        </w:tc>
        <w:tc>
          <w:tcPr>
            <w:tcW w:w="400" w:type="dxa"/>
            <w:vAlign w:val="bottom"/>
            <w:tcBorders>
              <w:top w:val="single" w:sz="8" w:color="auto"/>
              <w:bottom w:val="single" w:sz="8" w:color="auto"/>
            </w:tcBorders>
          </w:tcPr>
          <w:p>
            <w:pPr>
              <w:jc w:val="right"/>
              <w:ind w:right="39"/>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20" w:type="dxa"/>
            <w:vAlign w:val="bottom"/>
            <w:tcBorders>
              <w:top w:val="single" w:sz="8" w:color="auto"/>
              <w:bottom w:val="single" w:sz="8" w:color="CCEEFF"/>
            </w:tcBorders>
          </w:tcPr>
          <w:p>
            <w:pPr>
              <w:spacing w:after="0"/>
              <w:rPr>
                <w:sz w:val="8"/>
                <w:szCs w:val="8"/>
                <w:color w:val="auto"/>
              </w:rPr>
            </w:pPr>
          </w:p>
        </w:tc>
        <w:tc>
          <w:tcPr>
            <w:tcW w:w="180" w:type="dxa"/>
            <w:vAlign w:val="bottom"/>
            <w:tcBorders>
              <w:top w:val="single" w:sz="8" w:color="auto"/>
              <w:bottom w:val="single" w:sz="8" w:color="CCEEFF"/>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8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4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(1,148)</w:t>
            </w:r>
          </w:p>
        </w:tc>
        <w:tc>
          <w:tcPr>
            <w:tcW w:w="200" w:type="dxa"/>
            <w:vAlign w:val="bottom"/>
            <w:gridSpan w:val="2"/>
            <w:shd w:val="clear" w:color="auto" w:fill="CCEEFF"/>
          </w:tcPr>
          <w:p>
            <w:pPr>
              <w:spacing w:after="0"/>
              <w:rPr>
                <w:sz w:val="12"/>
                <w:szCs w:val="12"/>
                <w:color w:val="auto"/>
              </w:rPr>
            </w:pPr>
          </w:p>
        </w:tc>
        <w:tc>
          <w:tcPr>
            <w:tcW w:w="3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(789)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Add (Less):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 fees and associated costs</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and integration costs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108</w:t>
            </w:r>
          </w:p>
        </w:tc>
        <w:tc>
          <w:tcPr>
            <w:tcW w:w="18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873</w:t>
            </w: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559</w:t>
            </w:r>
          </w:p>
        </w:tc>
        <w:tc>
          <w:tcPr>
            <w:tcW w:w="0" w:type="dxa"/>
            <w:vAlign w:val="bottom"/>
          </w:tcPr>
          <w:p>
            <w:pPr>
              <w:spacing w:after="0"/>
              <w:rPr>
                <w:sz w:val="1"/>
                <w:szCs w:val="1"/>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Legal loss contingencies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105</w:t>
            </w:r>
          </w:p>
        </w:tc>
        <w:tc>
          <w:tcPr>
            <w:tcW w:w="1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acquired intangibles</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222</w:t>
            </w: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235</w:t>
            </w:r>
          </w:p>
        </w:tc>
        <w:tc>
          <w:tcPr>
            <w:tcW w:w="0" w:type="dxa"/>
            <w:vAlign w:val="bottom"/>
          </w:tcPr>
          <w:p>
            <w:pPr>
              <w:spacing w:after="0"/>
              <w:rPr>
                <w:sz w:val="1"/>
                <w:szCs w:val="1"/>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59</w:t>
            </w:r>
          </w:p>
        </w:tc>
        <w:tc>
          <w:tcPr>
            <w:tcW w:w="18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on settlement of long-term debt</w:t>
            </w:r>
          </w:p>
        </w:tc>
        <w:tc>
          <w:tcPr>
            <w:tcW w:w="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Financing related fees not eligible for capitalization</w:t>
            </w: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(gain) loss on derivative instruments</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Fair value (gain) loss on Fox Option Liability</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(122)</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52"/>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(gain) loss on Investment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2"/>
        </w:trPr>
        <w:tc>
          <w:tcPr>
            <w:tcW w:w="488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Tax impact of above adjustments</w:t>
            </w:r>
            <w:r>
              <w:rPr>
                <w:rFonts w:ascii="Times New Roman" w:cs="Times New Roman" w:eastAsia="Times New Roman" w:hAnsi="Times New Roman"/>
                <w:sz w:val="17"/>
                <w:szCs w:val="17"/>
                <w:color w:val="auto"/>
                <w:vertAlign w:val="superscript"/>
              </w:rPr>
              <w:t>1</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(148)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Adjusted net (loss) income</w:t>
            </w: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(45)</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187</w:t>
            </w:r>
          </w:p>
        </w:tc>
        <w:tc>
          <w:tcPr>
            <w:tcW w:w="0" w:type="dxa"/>
            <w:vAlign w:val="bottom"/>
          </w:tcPr>
          <w:p>
            <w:pPr>
              <w:spacing w:after="0"/>
              <w:rPr>
                <w:sz w:val="1"/>
                <w:szCs w:val="1"/>
                <w:color w:val="auto"/>
              </w:rPr>
            </w:pPr>
          </w:p>
        </w:tc>
      </w:tr>
      <w:tr>
        <w:trPr>
          <w:trHeight w:val="152"/>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Less: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8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Adjusted net (loss) income attributable to non-controlling interests and redeemable</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88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3"/>
                <w:szCs w:val="13"/>
                <w:color w:val="auto"/>
              </w:rPr>
              <w:t>non-controlling interests</w:t>
            </w:r>
            <w:r>
              <w:rPr>
                <w:rFonts w:ascii="Times New Roman" w:cs="Times New Roman" w:eastAsia="Times New Roman" w:hAnsi="Times New Roman"/>
                <w:sz w:val="18"/>
                <w:szCs w:val="18"/>
                <w:color w:val="auto"/>
                <w:vertAlign w:val="superscript"/>
              </w:rPr>
              <w:t>2</w:t>
            </w: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52"/>
        </w:trPr>
        <w:tc>
          <w:tcPr>
            <w:tcW w:w="4880" w:type="dxa"/>
            <w:vAlign w:val="bottom"/>
          </w:tcPr>
          <w:p>
            <w:pPr>
              <w:spacing w:after="0" w:line="152" w:lineRule="exact"/>
              <w:rPr>
                <w:sz w:val="20"/>
                <w:szCs w:val="20"/>
                <w:color w:val="auto"/>
              </w:rPr>
            </w:pPr>
            <w:r>
              <w:rPr>
                <w:rFonts w:ascii="Times New Roman" w:cs="Times New Roman" w:eastAsia="Times New Roman" w:hAnsi="Times New Roman"/>
                <w:sz w:val="12"/>
                <w:szCs w:val="12"/>
                <w:color w:val="auto"/>
              </w:rPr>
              <w:t>Adjustment of redeemable non-controlling interest</w:t>
            </w:r>
            <w:r>
              <w:rPr>
                <w:rFonts w:ascii="Times New Roman" w:cs="Times New Roman" w:eastAsia="Times New Roman" w:hAnsi="Times New Roman"/>
                <w:sz w:val="17"/>
                <w:szCs w:val="17"/>
                <w:color w:val="auto"/>
                <w:vertAlign w:val="superscript"/>
              </w:rPr>
              <w:t>3</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net (loss) income attributable to Flutter shareholders</w:t>
            </w: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(32)</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286</w:t>
            </w:r>
          </w:p>
        </w:tc>
        <w:tc>
          <w:tcPr>
            <w:tcW w:w="0" w:type="dxa"/>
            <w:vAlign w:val="bottom"/>
          </w:tcPr>
          <w:p>
            <w:pPr>
              <w:spacing w:after="0"/>
              <w:rPr>
                <w:sz w:val="1"/>
                <w:szCs w:val="1"/>
                <w:color w:val="auto"/>
              </w:rPr>
            </w:pPr>
          </w:p>
        </w:tc>
      </w:tr>
      <w:tr>
        <w:trPr>
          <w:trHeight w:val="161"/>
        </w:trPr>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 average number of shares</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176</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940" w:right="699" w:hanging="303"/>
        <w:spacing w:after="0" w:line="253" w:lineRule="auto"/>
        <w:tabs>
          <w:tab w:leader="none" w:pos="9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rates used in calculated adjusted net income attributable to Flutter shareholders is the statutory tax rate applicable to the geographies in which the adjustments were incurred.</w:t>
      </w:r>
    </w:p>
    <w:p>
      <w:pPr>
        <w:spacing w:after="0" w:line="1" w:lineRule="exact"/>
        <w:rPr>
          <w:rFonts w:ascii="Times New Roman" w:cs="Times New Roman" w:eastAsia="Times New Roman" w:hAnsi="Times New Roman"/>
          <w:sz w:val="13"/>
          <w:szCs w:val="13"/>
          <w:color w:val="auto"/>
        </w:rPr>
      </w:pPr>
    </w:p>
    <w:p>
      <w:pPr>
        <w:ind w:left="940" w:right="679" w:hanging="303"/>
        <w:spacing w:after="0" w:line="243" w:lineRule="auto"/>
        <w:tabs>
          <w:tab w:leader="none" w:pos="9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net income (loss) attributed to the non-controlling interest in Sisal and CME, and the net income (loss) attributed to the redeemable non-controlling interest in MaxBet, Junglee and Betnacional, as adjusted for impairment of property and equipment, intangible assets, right-of-use assets, goodwill and working capital in relation to Brazil.</w:t>
      </w:r>
    </w:p>
    <w:p>
      <w:pPr>
        <w:ind w:left="940" w:right="699" w:hanging="303"/>
        <w:spacing w:after="0" w:line="245" w:lineRule="auto"/>
        <w:tabs>
          <w:tab w:leader="none" w:pos="9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adjustment made to the carrying value of the redeemable non-controlling interests in MaxBet and Junglee to account for the higher of (i) the initial carrying amount adjusted for cumulative earnings allocations, or (ii) redemption value at each reporting date through retained earnings.</w:t>
      </w:r>
    </w:p>
    <w:p>
      <w:pPr>
        <w:spacing w:after="0" w:line="140"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0" w:type="dxa"/>
            <w:vAlign w:val="bottom"/>
          </w:tcPr>
          <w:p>
            <w:pPr>
              <w:spacing w:after="0"/>
              <w:rPr>
                <w:sz w:val="1"/>
                <w:szCs w:val="1"/>
                <w:color w:val="auto"/>
              </w:rPr>
            </w:pPr>
          </w:p>
        </w:tc>
      </w:tr>
      <w:tr>
        <w:trPr>
          <w:trHeight w:val="121"/>
        </w:trPr>
        <w:tc>
          <w:tcPr>
            <w:tcW w:w="480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 in millions)</w:t>
            </w: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4800" w:type="dxa"/>
            <w:vAlign w:val="bottom"/>
            <w:tcBorders>
              <w:bottom w:val="single" w:sz="8" w:color="CCEEFF"/>
            </w:tcBorders>
            <w:vMerge w:val="continue"/>
          </w:tcPr>
          <w:p>
            <w:pPr>
              <w:spacing w:after="0"/>
              <w:rPr>
                <w:sz w:val="8"/>
                <w:szCs w:val="8"/>
                <w:color w:val="auto"/>
              </w:rPr>
            </w:pPr>
          </w:p>
        </w:tc>
        <w:tc>
          <w:tcPr>
            <w:tcW w:w="380" w:type="dxa"/>
            <w:vAlign w:val="bottom"/>
            <w:tcBorders>
              <w:top w:val="single" w:sz="8" w:color="auto"/>
              <w:bottom w:val="single" w:sz="8" w:color="auto"/>
            </w:tcBorders>
          </w:tcPr>
          <w:p>
            <w:pPr>
              <w:jc w:val="right"/>
              <w:ind w:right="43"/>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320" w:type="dxa"/>
            <w:vAlign w:val="bottom"/>
            <w:tcBorders>
              <w:top w:val="single" w:sz="8" w:color="auto"/>
              <w:bottom w:val="single" w:sz="8" w:color="CCEEFF"/>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8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Net loss attributable to non-controlling interests and redeemable non-controlling</w:t>
            </w:r>
          </w:p>
        </w:tc>
        <w:tc>
          <w:tcPr>
            <w:tcW w:w="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(286)</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(29)</w:t>
            </w:r>
          </w:p>
        </w:tc>
        <w:tc>
          <w:tcPr>
            <w:tcW w:w="0" w:type="dxa"/>
            <w:vAlign w:val="bottom"/>
          </w:tcPr>
          <w:p>
            <w:pPr>
              <w:spacing w:after="0"/>
              <w:rPr>
                <w:sz w:val="1"/>
                <w:szCs w:val="1"/>
                <w:color w:val="auto"/>
              </w:rPr>
            </w:pPr>
          </w:p>
        </w:tc>
      </w:tr>
      <w:tr>
        <w:trPr>
          <w:trHeight w:val="152"/>
        </w:trPr>
        <w:tc>
          <w:tcPr>
            <w:tcW w:w="4800" w:type="dxa"/>
            <w:vAlign w:val="bottom"/>
          </w:tcPr>
          <w:p>
            <w:pPr>
              <w:spacing w:after="0"/>
              <w:rPr>
                <w:sz w:val="20"/>
                <w:szCs w:val="20"/>
                <w:color w:val="auto"/>
              </w:rPr>
            </w:pPr>
            <w:r>
              <w:rPr>
                <w:rFonts w:ascii="Times New Roman" w:cs="Times New Roman" w:eastAsia="Times New Roman" w:hAnsi="Times New Roman"/>
                <w:sz w:val="13"/>
                <w:szCs w:val="13"/>
                <w:color w:val="auto"/>
              </w:rPr>
              <w:t>Impairment in relation to Brazil attributable to redeemable non-controlling interests</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273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6"/>
        </w:trPr>
        <w:tc>
          <w:tcPr>
            <w:tcW w:w="480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Adjusted net loss attributable to non-controlling interests and redeemable</w:t>
            </w:r>
          </w:p>
        </w:tc>
        <w:tc>
          <w:tcPr>
            <w:tcW w:w="38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non-controlling interests</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(13)</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(29)</w:t>
            </w:r>
          </w:p>
        </w:tc>
        <w:tc>
          <w:tcPr>
            <w:tcW w:w="0" w:type="dxa"/>
            <w:vAlign w:val="bottom"/>
          </w:tcPr>
          <w:p>
            <w:pPr>
              <w:spacing w:after="0"/>
              <w:rPr>
                <w:sz w:val="1"/>
                <w:szCs w:val="1"/>
                <w:color w:val="auto"/>
              </w:rPr>
            </w:pPr>
          </w:p>
        </w:tc>
      </w:tr>
      <w:tr>
        <w:trPr>
          <w:trHeight w:val="265"/>
        </w:trPr>
        <w:tc>
          <w:tcPr>
            <w:tcW w:w="4800" w:type="dxa"/>
            <w:vAlign w:val="bottom"/>
          </w:tcPr>
          <w:p>
            <w:pPr>
              <w:ind w:left="2880"/>
              <w:spacing w:after="0"/>
              <w:rPr>
                <w:sz w:val="20"/>
                <w:szCs w:val="20"/>
                <w:color w:val="auto"/>
              </w:rPr>
            </w:pPr>
            <w:r>
              <w:rPr>
                <w:rFonts w:ascii="Times New Roman" w:cs="Times New Roman" w:eastAsia="Times New Roman" w:hAnsi="Times New Roman"/>
                <w:sz w:val="13"/>
                <w:szCs w:val="13"/>
                <w:color w:val="auto"/>
              </w:rPr>
              <w:t>23</w:t>
            </w:r>
          </w:p>
        </w:tc>
        <w:tc>
          <w:tcPr>
            <w:tcW w:w="38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Adjusted earnings per share reconciliation</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See below a reconciliation of adjusted earnings per share to diluted earnings per share, the most comparable GAAP measure.</w:t>
      </w:r>
    </w:p>
    <w:p>
      <w:pPr>
        <w:spacing w:after="0" w:line="158"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27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0" w:type="dxa"/>
            <w:vAlign w:val="bottom"/>
          </w:tcPr>
          <w:p>
            <w:pPr>
              <w:spacing w:after="0"/>
              <w:rPr>
                <w:sz w:val="1"/>
                <w:szCs w:val="1"/>
                <w:color w:val="auto"/>
              </w:rPr>
            </w:pPr>
          </w:p>
        </w:tc>
      </w:tr>
      <w:tr>
        <w:trPr>
          <w:trHeight w:val="121"/>
        </w:trPr>
        <w:tc>
          <w:tcPr>
            <w:tcW w:w="27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w:t>
            </w:r>
          </w:p>
        </w:tc>
        <w:tc>
          <w:tcPr>
            <w:tcW w:w="2140" w:type="dxa"/>
            <w:vAlign w:val="bottom"/>
          </w:tcPr>
          <w:p>
            <w:pPr>
              <w:spacing w:after="0"/>
              <w:rPr>
                <w:sz w:val="10"/>
                <w:szCs w:val="10"/>
                <w:color w:val="auto"/>
              </w:rPr>
            </w:pP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0" w:type="dxa"/>
            <w:vAlign w:val="bottom"/>
          </w:tcPr>
          <w:p>
            <w:pPr>
              <w:spacing w:after="0"/>
              <w:rPr>
                <w:sz w:val="1"/>
                <w:szCs w:val="1"/>
                <w:color w:val="auto"/>
              </w:rPr>
            </w:pPr>
          </w:p>
        </w:tc>
      </w:tr>
      <w:tr>
        <w:trPr>
          <w:trHeight w:val="94"/>
        </w:trPr>
        <w:tc>
          <w:tcPr>
            <w:tcW w:w="2740" w:type="dxa"/>
            <w:vAlign w:val="bottom"/>
            <w:tcBorders>
              <w:bottom w:val="single" w:sz="8" w:color="CCEEFF"/>
            </w:tcBorders>
            <w:vMerge w:val="continue"/>
          </w:tcPr>
          <w:p>
            <w:pPr>
              <w:spacing w:after="0"/>
              <w:rPr>
                <w:sz w:val="8"/>
                <w:szCs w:val="8"/>
                <w:color w:val="auto"/>
              </w:rPr>
            </w:pPr>
          </w:p>
        </w:tc>
        <w:tc>
          <w:tcPr>
            <w:tcW w:w="2140" w:type="dxa"/>
            <w:vAlign w:val="bottom"/>
            <w:tcBorders>
              <w:bottom w:val="single" w:sz="8" w:color="CCEEFF"/>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2"/>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200" w:type="dxa"/>
            <w:vAlign w:val="bottom"/>
            <w:tcBorders>
              <w:top w:val="single" w:sz="8" w:color="auto"/>
              <w:bottom w:val="single" w:sz="8" w:color="CCEEFF"/>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7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Loss per share to Flutter shareholders</w:t>
            </w:r>
          </w:p>
        </w:tc>
        <w:tc>
          <w:tcPr>
            <w:tcW w:w="2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1" w:lineRule="exact"/>
              <w:rPr>
                <w:sz w:val="20"/>
                <w:szCs w:val="20"/>
                <w:color w:val="auto"/>
              </w:rPr>
            </w:pPr>
            <w:r>
              <w:rPr>
                <w:rFonts w:ascii="Times New Roman" w:cs="Times New Roman" w:eastAsia="Times New Roman" w:hAnsi="Times New Roman"/>
                <w:sz w:val="13"/>
                <w:szCs w:val="13"/>
                <w:b w:val="1"/>
                <w:bCs w:val="1"/>
                <w:color w:val="auto"/>
              </w:rPr>
              <w:t>(4.90)</w:t>
            </w:r>
          </w:p>
        </w:tc>
        <w:tc>
          <w:tcPr>
            <w:tcW w:w="3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Add (Less):</w:t>
            </w:r>
          </w:p>
        </w:tc>
        <w:tc>
          <w:tcPr>
            <w:tcW w:w="2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Transaction fees and associated costs</w:t>
            </w:r>
          </w:p>
        </w:tc>
        <w:tc>
          <w:tcPr>
            <w:tcW w:w="2680" w:type="dxa"/>
            <w:vAlign w:val="bottom"/>
            <w:gridSpan w:val="3"/>
            <w:shd w:val="clear" w:color="auto" w:fill="CCEEFF"/>
          </w:tcPr>
          <w:p>
            <w:pPr>
              <w:jc w:val="center"/>
              <w:ind w:left="1997"/>
              <w:spacing w:after="0"/>
              <w:rPr>
                <w:sz w:val="20"/>
                <w:szCs w:val="20"/>
                <w:color w:val="auto"/>
              </w:rPr>
            </w:pPr>
            <w:r>
              <w:rPr>
                <w:rFonts w:ascii="Times New Roman" w:cs="Times New Roman" w:eastAsia="Times New Roman" w:hAnsi="Times New Roman"/>
                <w:sz w:val="13"/>
                <w:szCs w:val="13"/>
                <w:color w:val="auto"/>
                <w:w w:val="96"/>
              </w:rPr>
              <w:t>0.01</w:t>
            </w:r>
          </w:p>
        </w:tc>
        <w:tc>
          <w:tcPr>
            <w:tcW w:w="46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3"/>
                <w:szCs w:val="13"/>
                <w:color w:val="auto"/>
                <w:w w:val="96"/>
              </w:rPr>
              <w:t>1.16</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Restructuring and integration costs</w:t>
            </w:r>
          </w:p>
        </w:tc>
        <w:tc>
          <w:tcPr>
            <w:tcW w:w="2680" w:type="dxa"/>
            <w:vAlign w:val="bottom"/>
            <w:gridSpan w:val="3"/>
          </w:tcPr>
          <w:p>
            <w:pPr>
              <w:jc w:val="center"/>
              <w:ind w:left="1997"/>
              <w:spacing w:after="0"/>
              <w:rPr>
                <w:sz w:val="20"/>
                <w:szCs w:val="20"/>
                <w:color w:val="auto"/>
              </w:rPr>
            </w:pPr>
            <w:r>
              <w:rPr>
                <w:rFonts w:ascii="Times New Roman" w:cs="Times New Roman" w:eastAsia="Times New Roman" w:hAnsi="Times New Roman"/>
                <w:sz w:val="13"/>
                <w:szCs w:val="13"/>
                <w:color w:val="auto"/>
                <w:w w:val="96"/>
              </w:rPr>
              <w:t>0.61</w:t>
            </w:r>
          </w:p>
        </w:tc>
        <w:tc>
          <w:tcPr>
            <w:tcW w:w="460" w:type="dxa"/>
            <w:vAlign w:val="bottom"/>
            <w:gridSpan w:val="2"/>
          </w:tcPr>
          <w:p>
            <w:pPr>
              <w:jc w:val="center"/>
              <w:ind w:left="18"/>
              <w:spacing w:after="0"/>
              <w:rPr>
                <w:sz w:val="20"/>
                <w:szCs w:val="20"/>
                <w:color w:val="auto"/>
              </w:rPr>
            </w:pPr>
            <w:r>
              <w:rPr>
                <w:rFonts w:ascii="Times New Roman" w:cs="Times New Roman" w:eastAsia="Times New Roman" w:hAnsi="Times New Roman"/>
                <w:sz w:val="13"/>
                <w:szCs w:val="13"/>
                <w:color w:val="auto"/>
                <w:w w:val="96"/>
              </w:rPr>
              <w:t>0.34</w:t>
            </w: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w:t>
            </w:r>
          </w:p>
        </w:tc>
        <w:tc>
          <w:tcPr>
            <w:tcW w:w="2680" w:type="dxa"/>
            <w:vAlign w:val="bottom"/>
            <w:gridSpan w:val="3"/>
            <w:shd w:val="clear" w:color="auto" w:fill="CCEEFF"/>
          </w:tcPr>
          <w:p>
            <w:pPr>
              <w:jc w:val="center"/>
              <w:ind w:left="1997"/>
              <w:spacing w:after="0"/>
              <w:rPr>
                <w:sz w:val="20"/>
                <w:szCs w:val="20"/>
                <w:color w:val="auto"/>
              </w:rPr>
            </w:pPr>
            <w:r>
              <w:rPr>
                <w:rFonts w:ascii="Times New Roman" w:cs="Times New Roman" w:eastAsia="Times New Roman" w:hAnsi="Times New Roman"/>
                <w:sz w:val="13"/>
                <w:szCs w:val="13"/>
                <w:color w:val="auto"/>
                <w:w w:val="96"/>
              </w:rPr>
              <w:t>3.22</w:t>
            </w:r>
          </w:p>
        </w:tc>
        <w:tc>
          <w:tcPr>
            <w:tcW w:w="46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3"/>
                <w:szCs w:val="13"/>
                <w:color w:val="auto"/>
                <w:w w:val="96"/>
              </w:rPr>
              <w:t>3.18</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Legal loss contingencies</w:t>
            </w:r>
          </w:p>
        </w:tc>
        <w:tc>
          <w:tcPr>
            <w:tcW w:w="2680" w:type="dxa"/>
            <w:vAlign w:val="bottom"/>
            <w:gridSpan w:val="3"/>
          </w:tcPr>
          <w:p>
            <w:pPr>
              <w:jc w:val="center"/>
              <w:ind w:left="1997"/>
              <w:spacing w:after="0"/>
              <w:rPr>
                <w:sz w:val="20"/>
                <w:szCs w:val="20"/>
                <w:color w:val="auto"/>
              </w:rPr>
            </w:pPr>
            <w:r>
              <w:rPr>
                <w:rFonts w:ascii="Times New Roman" w:cs="Times New Roman" w:eastAsia="Times New Roman" w:hAnsi="Times New Roman"/>
                <w:sz w:val="13"/>
                <w:szCs w:val="13"/>
                <w:color w:val="auto"/>
                <w:w w:val="96"/>
              </w:rPr>
              <w:t>0.60</w:t>
            </w:r>
          </w:p>
        </w:tc>
        <w:tc>
          <w:tcPr>
            <w:tcW w:w="460" w:type="dxa"/>
            <w:vAlign w:val="bottom"/>
            <w:gridSpan w:val="2"/>
          </w:tcPr>
          <w:p>
            <w:pPr>
              <w:jc w:val="center"/>
              <w:ind w:left="38"/>
              <w:spacing w:after="0"/>
              <w:rPr>
                <w:sz w:val="20"/>
                <w:szCs w:val="20"/>
                <w:color w:val="auto"/>
              </w:rPr>
            </w:pPr>
            <w:r>
              <w:rPr>
                <w:rFonts w:ascii="Times New Roman" w:cs="Times New Roman" w:eastAsia="Times New Roman" w:hAnsi="Times New Roman"/>
                <w:sz w:val="13"/>
                <w:szCs w:val="13"/>
                <w:color w:val="auto"/>
                <w:w w:val="81"/>
              </w:rPr>
              <w:t>— </w:t>
            </w: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acquired intangibles</w:t>
            </w:r>
          </w:p>
        </w:tc>
        <w:tc>
          <w:tcPr>
            <w:tcW w:w="2680" w:type="dxa"/>
            <w:vAlign w:val="bottom"/>
            <w:gridSpan w:val="3"/>
            <w:shd w:val="clear" w:color="auto" w:fill="CCEEFF"/>
          </w:tcPr>
          <w:p>
            <w:pPr>
              <w:jc w:val="center"/>
              <w:ind w:left="1997"/>
              <w:spacing w:after="0"/>
              <w:rPr>
                <w:sz w:val="20"/>
                <w:szCs w:val="20"/>
                <w:color w:val="auto"/>
              </w:rPr>
            </w:pPr>
            <w:r>
              <w:rPr>
                <w:rFonts w:ascii="Times New Roman" w:cs="Times New Roman" w:eastAsia="Times New Roman" w:hAnsi="Times New Roman"/>
                <w:sz w:val="13"/>
                <w:szCs w:val="13"/>
                <w:color w:val="auto"/>
                <w:w w:val="96"/>
              </w:rPr>
              <w:t>1.26</w:t>
            </w:r>
          </w:p>
        </w:tc>
        <w:tc>
          <w:tcPr>
            <w:tcW w:w="46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3"/>
                <w:szCs w:val="13"/>
                <w:color w:val="auto"/>
                <w:w w:val="96"/>
              </w:rPr>
              <w:t>1.34</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2680" w:type="dxa"/>
            <w:vAlign w:val="bottom"/>
            <w:gridSpan w:val="3"/>
          </w:tcPr>
          <w:p>
            <w:pPr>
              <w:jc w:val="center"/>
              <w:ind w:left="1997"/>
              <w:spacing w:after="0"/>
              <w:rPr>
                <w:sz w:val="20"/>
                <w:szCs w:val="20"/>
                <w:color w:val="auto"/>
              </w:rPr>
            </w:pPr>
            <w:r>
              <w:rPr>
                <w:rFonts w:ascii="Times New Roman" w:cs="Times New Roman" w:eastAsia="Times New Roman" w:hAnsi="Times New Roman"/>
                <w:sz w:val="13"/>
                <w:szCs w:val="13"/>
                <w:color w:val="auto"/>
                <w:w w:val="96"/>
              </w:rPr>
              <w:t>0.34</w:t>
            </w:r>
          </w:p>
        </w:tc>
        <w:tc>
          <w:tcPr>
            <w:tcW w:w="460" w:type="dxa"/>
            <w:vAlign w:val="bottom"/>
            <w:gridSpan w:val="2"/>
          </w:tcPr>
          <w:p>
            <w:pPr>
              <w:jc w:val="center"/>
              <w:ind w:left="18"/>
              <w:spacing w:after="0"/>
              <w:rPr>
                <w:sz w:val="20"/>
                <w:szCs w:val="20"/>
                <w:color w:val="auto"/>
              </w:rPr>
            </w:pPr>
            <w:r>
              <w:rPr>
                <w:rFonts w:ascii="Times New Roman" w:cs="Times New Roman" w:eastAsia="Times New Roman" w:hAnsi="Times New Roman"/>
                <w:sz w:val="13"/>
                <w:szCs w:val="13"/>
                <w:color w:val="auto"/>
                <w:w w:val="96"/>
              </w:rPr>
              <w:t>0.40</w:t>
            </w: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on settlement of long-term debt</w:t>
            </w:r>
          </w:p>
        </w:tc>
        <w:tc>
          <w:tcPr>
            <w:tcW w:w="2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81"/>
              </w:rPr>
              <w:t>— </w:t>
            </w:r>
          </w:p>
        </w:tc>
        <w:tc>
          <w:tcPr>
            <w:tcW w:w="46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3"/>
                <w:szCs w:val="13"/>
                <w:color w:val="auto"/>
                <w:w w:val="96"/>
              </w:rPr>
              <w:t>0.05</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Financing related fees not eligible for capitalization</w:t>
            </w:r>
          </w:p>
        </w:tc>
        <w:tc>
          <w:tcPr>
            <w:tcW w:w="2140" w:type="dxa"/>
            <w:vAlign w:val="bottom"/>
          </w:tcPr>
          <w:p>
            <w:pPr>
              <w:spacing w:after="0"/>
              <w:rPr>
                <w:sz w:val="13"/>
                <w:szCs w:val="13"/>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81"/>
              </w:rPr>
              <w:t>— </w:t>
            </w:r>
          </w:p>
        </w:tc>
        <w:tc>
          <w:tcPr>
            <w:tcW w:w="460" w:type="dxa"/>
            <w:vAlign w:val="bottom"/>
            <w:gridSpan w:val="2"/>
          </w:tcPr>
          <w:p>
            <w:pPr>
              <w:jc w:val="center"/>
              <w:ind w:left="18"/>
              <w:spacing w:after="0"/>
              <w:rPr>
                <w:sz w:val="20"/>
                <w:szCs w:val="20"/>
                <w:color w:val="auto"/>
              </w:rPr>
            </w:pPr>
            <w:r>
              <w:rPr>
                <w:rFonts w:ascii="Times New Roman" w:cs="Times New Roman" w:eastAsia="Times New Roman" w:hAnsi="Times New Roman"/>
                <w:sz w:val="13"/>
                <w:szCs w:val="13"/>
                <w:color w:val="auto"/>
                <w:w w:val="96"/>
              </w:rPr>
              <w:t>0.01</w:t>
            </w: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(gain) loss on derivative instruments</w:t>
            </w:r>
          </w:p>
        </w:tc>
        <w:tc>
          <w:tcPr>
            <w:tcW w:w="2680" w:type="dxa"/>
            <w:vAlign w:val="bottom"/>
            <w:gridSpan w:val="3"/>
            <w:shd w:val="clear" w:color="auto" w:fill="CCEEFF"/>
          </w:tcPr>
          <w:p>
            <w:pPr>
              <w:jc w:val="center"/>
              <w:ind w:left="1997"/>
              <w:spacing w:after="0"/>
              <w:rPr>
                <w:sz w:val="20"/>
                <w:szCs w:val="20"/>
                <w:color w:val="auto"/>
              </w:rPr>
            </w:pPr>
            <w:r>
              <w:rPr>
                <w:rFonts w:ascii="Times New Roman" w:cs="Times New Roman" w:eastAsia="Times New Roman" w:hAnsi="Times New Roman"/>
                <w:sz w:val="13"/>
                <w:szCs w:val="13"/>
                <w:color w:val="auto"/>
                <w:w w:val="96"/>
              </w:rPr>
              <w:t>0.02</w:t>
            </w:r>
          </w:p>
        </w:tc>
        <w:tc>
          <w:tcPr>
            <w:tcW w:w="46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3"/>
                <w:szCs w:val="13"/>
                <w:color w:val="auto"/>
                <w:w w:val="95"/>
              </w:rPr>
              <w:t>(0.06)</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Fair value (gain) loss on Fox Option Liability</w:t>
            </w:r>
          </w:p>
        </w:tc>
        <w:tc>
          <w:tcPr>
            <w:tcW w:w="2680" w:type="dxa"/>
            <w:vAlign w:val="bottom"/>
            <w:gridSpan w:val="3"/>
          </w:tcPr>
          <w:p>
            <w:pPr>
              <w:jc w:val="center"/>
              <w:ind w:left="2017"/>
              <w:spacing w:after="0"/>
              <w:rPr>
                <w:sz w:val="20"/>
                <w:szCs w:val="20"/>
                <w:color w:val="auto"/>
              </w:rPr>
            </w:pPr>
            <w:r>
              <w:rPr>
                <w:rFonts w:ascii="Times New Roman" w:cs="Times New Roman" w:eastAsia="Times New Roman" w:hAnsi="Times New Roman"/>
                <w:sz w:val="13"/>
                <w:szCs w:val="13"/>
                <w:color w:val="auto"/>
              </w:rPr>
              <w:t>(0.70)</w:t>
            </w:r>
          </w:p>
        </w:tc>
        <w:tc>
          <w:tcPr>
            <w:tcW w:w="460" w:type="dxa"/>
            <w:vAlign w:val="bottom"/>
            <w:gridSpan w:val="2"/>
          </w:tcPr>
          <w:p>
            <w:pPr>
              <w:jc w:val="center"/>
              <w:ind w:left="18"/>
              <w:spacing w:after="0"/>
              <w:rPr>
                <w:sz w:val="20"/>
                <w:szCs w:val="20"/>
                <w:color w:val="auto"/>
              </w:rPr>
            </w:pPr>
            <w:r>
              <w:rPr>
                <w:rFonts w:ascii="Times New Roman" w:cs="Times New Roman" w:eastAsia="Times New Roman" w:hAnsi="Times New Roman"/>
                <w:sz w:val="13"/>
                <w:szCs w:val="13"/>
                <w:color w:val="auto"/>
                <w:w w:val="95"/>
              </w:rPr>
              <w:t>(0.72)</w:t>
            </w: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(gain) loss on Investment</w:t>
            </w:r>
          </w:p>
        </w:tc>
        <w:tc>
          <w:tcPr>
            <w:tcW w:w="2680" w:type="dxa"/>
            <w:vAlign w:val="bottom"/>
            <w:gridSpan w:val="3"/>
            <w:shd w:val="clear" w:color="auto" w:fill="CCEEFF"/>
          </w:tcPr>
          <w:p>
            <w:pPr>
              <w:jc w:val="center"/>
              <w:ind w:left="1997"/>
              <w:spacing w:after="0"/>
              <w:rPr>
                <w:sz w:val="20"/>
                <w:szCs w:val="20"/>
                <w:color w:val="auto"/>
              </w:rPr>
            </w:pPr>
            <w:r>
              <w:rPr>
                <w:rFonts w:ascii="Times New Roman" w:cs="Times New Roman" w:eastAsia="Times New Roman" w:hAnsi="Times New Roman"/>
                <w:sz w:val="13"/>
                <w:szCs w:val="13"/>
                <w:color w:val="auto"/>
                <w:w w:val="96"/>
              </w:rPr>
              <w:t>0.01</w:t>
            </w:r>
          </w:p>
        </w:tc>
        <w:tc>
          <w:tcPr>
            <w:tcW w:w="460" w:type="dxa"/>
            <w:vAlign w:val="bottom"/>
            <w:gridSpan w:val="2"/>
            <w:shd w:val="clear" w:color="auto" w:fill="CCEEFF"/>
          </w:tcPr>
          <w:p>
            <w:pPr>
              <w:jc w:val="center"/>
              <w:ind w:left="38"/>
              <w:spacing w:after="0"/>
              <w:rPr>
                <w:sz w:val="20"/>
                <w:szCs w:val="20"/>
                <w:color w:val="auto"/>
              </w:rPr>
            </w:pPr>
            <w:r>
              <w:rPr>
                <w:rFonts w:ascii="Times New Roman" w:cs="Times New Roman" w:eastAsia="Times New Roman" w:hAnsi="Times New Roman"/>
                <w:sz w:val="13"/>
                <w:szCs w:val="13"/>
                <w:color w:val="auto"/>
                <w:w w:val="81"/>
              </w:rPr>
              <w:t>— </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Tax impact of above adjustments</w:t>
            </w:r>
          </w:p>
        </w:tc>
        <w:tc>
          <w:tcPr>
            <w:tcW w:w="2140" w:type="dxa"/>
            <w:vAlign w:val="bottom"/>
          </w:tcPr>
          <w:p>
            <w:pPr>
              <w:spacing w:after="0"/>
              <w:rPr>
                <w:sz w:val="13"/>
                <w:szCs w:val="13"/>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(0.65)</w:t>
            </w:r>
          </w:p>
        </w:tc>
        <w:tc>
          <w:tcPr>
            <w:tcW w:w="460" w:type="dxa"/>
            <w:vAlign w:val="bottom"/>
            <w:gridSpan w:val="2"/>
          </w:tcPr>
          <w:p>
            <w:pPr>
              <w:jc w:val="center"/>
              <w:ind w:left="18"/>
              <w:spacing w:after="0"/>
              <w:rPr>
                <w:sz w:val="20"/>
                <w:szCs w:val="20"/>
                <w:color w:val="auto"/>
              </w:rPr>
            </w:pPr>
            <w:r>
              <w:rPr>
                <w:rFonts w:ascii="Times New Roman" w:cs="Times New Roman" w:eastAsia="Times New Roman" w:hAnsi="Times New Roman"/>
                <w:sz w:val="13"/>
                <w:szCs w:val="13"/>
                <w:color w:val="auto"/>
                <w:w w:val="95"/>
              </w:rPr>
              <w:t>(0.15)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Adjusted (loss) earnings per share</w:t>
            </w:r>
          </w:p>
        </w:tc>
        <w:tc>
          <w:tcPr>
            <w:tcW w:w="2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(0.18)</w:t>
            </w:r>
          </w:p>
        </w:tc>
        <w:tc>
          <w:tcPr>
            <w:tcW w:w="46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3"/>
                <w:szCs w:val="13"/>
                <w:b w:val="1"/>
                <w:bCs w:val="1"/>
                <w:color w:val="auto"/>
                <w:w w:val="96"/>
              </w:rPr>
              <w:t>1.64</w:t>
            </w:r>
          </w:p>
        </w:tc>
        <w:tc>
          <w:tcPr>
            <w:tcW w:w="0" w:type="dxa"/>
            <w:vAlign w:val="bottom"/>
          </w:tcPr>
          <w:p>
            <w:pPr>
              <w:spacing w:after="0"/>
              <w:rPr>
                <w:sz w:val="1"/>
                <w:szCs w:val="1"/>
                <w:color w:val="auto"/>
              </w:rPr>
            </w:pPr>
          </w:p>
        </w:tc>
      </w:tr>
      <w:tr>
        <w:trPr>
          <w:trHeight w:val="265"/>
        </w:trPr>
        <w:tc>
          <w:tcPr>
            <w:tcW w:w="2740" w:type="dxa"/>
            <w:vAlign w:val="bottom"/>
          </w:tcPr>
          <w:p>
            <w:pPr>
              <w:spacing w:after="0"/>
              <w:rPr>
                <w:sz w:val="23"/>
                <w:szCs w:val="23"/>
                <w:color w:val="auto"/>
              </w:rPr>
            </w:pPr>
          </w:p>
        </w:tc>
        <w:tc>
          <w:tcPr>
            <w:tcW w:w="2140" w:type="dxa"/>
            <w:vAlign w:val="bottom"/>
          </w:tcPr>
          <w:p>
            <w:pPr>
              <w:jc w:val="right"/>
              <w:ind w:right="1817"/>
              <w:spacing w:after="0"/>
              <w:rPr>
                <w:sz w:val="20"/>
                <w:szCs w:val="20"/>
                <w:color w:val="auto"/>
              </w:rPr>
            </w:pPr>
            <w:r>
              <w:rPr>
                <w:rFonts w:ascii="Times New Roman" w:cs="Times New Roman" w:eastAsia="Times New Roman" w:hAnsi="Times New Roman"/>
                <w:sz w:val="13"/>
                <w:szCs w:val="13"/>
                <w:color w:val="auto"/>
              </w:rPr>
              <w:t>24</w:t>
            </w:r>
          </w:p>
        </w:tc>
        <w:tc>
          <w:tcPr>
            <w:tcW w:w="34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Net debt reconciliation</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See below a reconciliation of net debt to long-term debt, the most comparable GAAP measure.</w:t>
      </w:r>
    </w:p>
    <w:p>
      <w:pPr>
        <w:spacing w:after="0" w:line="158"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104"/>
        </w:trPr>
        <w:tc>
          <w:tcPr>
            <w:tcW w:w="420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 in millions)</w:t>
            </w:r>
          </w:p>
        </w:tc>
        <w:tc>
          <w:tcPr>
            <w:tcW w:w="1020" w:type="dxa"/>
            <w:vAlign w:val="bottom"/>
            <w:gridSpan w:val="2"/>
          </w:tcPr>
          <w:p>
            <w:pPr>
              <w:jc w:val="center"/>
              <w:ind w:right="400"/>
              <w:spacing w:after="0" w:line="104"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66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1"/>
        </w:trPr>
        <w:tc>
          <w:tcPr>
            <w:tcW w:w="4200" w:type="dxa"/>
            <w:vAlign w:val="bottom"/>
            <w:tcBorders>
              <w:bottom w:val="single" w:sz="8" w:color="CCEEFF"/>
            </w:tcBorders>
            <w:vMerge w:val="continue"/>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4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2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Long-term debt</w:t>
            </w: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12,143</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12,157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due within one year</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4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12,313</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12,266</w:t>
            </w:r>
          </w:p>
        </w:tc>
        <w:tc>
          <w:tcPr>
            <w:tcW w:w="0" w:type="dxa"/>
            <w:vAlign w:val="bottom"/>
          </w:tcPr>
          <w:p>
            <w:pPr>
              <w:spacing w:after="0"/>
              <w:rPr>
                <w:sz w:val="1"/>
                <w:szCs w:val="1"/>
                <w:color w:val="auto"/>
              </w:rPr>
            </w:pPr>
          </w:p>
        </w:tc>
      </w:tr>
      <w:tr>
        <w:trPr>
          <w:trHeight w:val="152"/>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Add:</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2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Transactions costs, premiums or discount included in the carrying value of</w:t>
            </w: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debt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4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52"/>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Less:</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2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2"/>
                <w:szCs w:val="12"/>
                <w:color w:val="auto"/>
              </w:rPr>
              <w:t xml:space="preserve">Unrealized foreign exchange on translation of foreign currency debt </w:t>
            </w:r>
            <w:r>
              <w:rPr>
                <w:rFonts w:ascii="Times New Roman" w:cs="Times New Roman" w:eastAsia="Times New Roman" w:hAnsi="Times New Roman"/>
                <w:sz w:val="17"/>
                <w:szCs w:val="17"/>
                <w:color w:val="auto"/>
                <w:vertAlign w:val="superscript"/>
              </w:rPr>
              <w:t>1</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52"/>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(1,708)</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(1,828)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Debt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10,656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10,591</w:t>
            </w:r>
          </w:p>
        </w:tc>
        <w:tc>
          <w:tcPr>
            <w:tcW w:w="0" w:type="dxa"/>
            <w:vAlign w:val="bottom"/>
          </w:tcPr>
          <w:p>
            <w:pPr>
              <w:spacing w:after="0"/>
              <w:rPr>
                <w:sz w:val="1"/>
                <w:szCs w:val="1"/>
                <w:color w:val="auto"/>
              </w:rPr>
            </w:pPr>
          </w:p>
        </w:tc>
      </w:tr>
      <w:tr>
        <w:trPr>
          <w:trHeight w:val="28"/>
        </w:trPr>
        <w:tc>
          <w:tcPr>
            <w:tcW w:w="4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40" w:right="819" w:hanging="303"/>
        <w:spacing w:after="0" w:line="267" w:lineRule="auto"/>
        <w:tabs>
          <w:tab w:leader="none" w:pos="9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Representing the adjustment for foreign exchange that is economically hedged as a result of our cross-currency interest rate swaps to reflect the net cash outflow on maturity.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Free cash flow including financing capex and excluding player funds</w:t>
      </w:r>
    </w:p>
    <w:p>
      <w:pPr>
        <w:spacing w:after="0" w:line="80" w:lineRule="exact"/>
        <w:rPr>
          <w:sz w:val="20"/>
          <w:szCs w:val="20"/>
          <w:color w:val="auto"/>
        </w:rPr>
      </w:pPr>
    </w:p>
    <w:p>
      <w:pPr>
        <w:ind w:left="640" w:right="739"/>
        <w:spacing w:after="0" w:line="267" w:lineRule="auto"/>
        <w:rPr>
          <w:sz w:val="20"/>
          <w:szCs w:val="20"/>
          <w:color w:val="auto"/>
        </w:rPr>
      </w:pPr>
      <w:r>
        <w:rPr>
          <w:rFonts w:ascii="Times New Roman" w:cs="Times New Roman" w:eastAsia="Times New Roman" w:hAnsi="Times New Roman"/>
          <w:sz w:val="13"/>
          <w:szCs w:val="13"/>
          <w:color w:val="auto"/>
        </w:rPr>
        <w:t>See below a reconciliation of free cash flow and free cash flow including financing capex and excluding player funds to net cash provided by operating activities, the most comparable GAAP measure.</w:t>
      </w:r>
    </w:p>
    <w:p>
      <w:pPr>
        <w:spacing w:after="0" w:line="127"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0" w:type="dxa"/>
            <w:vAlign w:val="bottom"/>
          </w:tcPr>
          <w:p>
            <w:pPr>
              <w:spacing w:after="0"/>
              <w:rPr>
                <w:sz w:val="1"/>
                <w:szCs w:val="1"/>
                <w:color w:val="auto"/>
              </w:rPr>
            </w:pPr>
          </w:p>
        </w:tc>
      </w:tr>
      <w:tr>
        <w:trPr>
          <w:trHeight w:val="121"/>
        </w:trPr>
        <w:tc>
          <w:tcPr>
            <w:tcW w:w="48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 in millions)</w:t>
            </w: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94"/>
        </w:trPr>
        <w:tc>
          <w:tcPr>
            <w:tcW w:w="4820" w:type="dxa"/>
            <w:vAlign w:val="bottom"/>
            <w:tcBorders>
              <w:bottom w:val="single" w:sz="8" w:color="CCEEFF"/>
            </w:tcBorders>
            <w:vMerge w:val="continue"/>
          </w:tcPr>
          <w:p>
            <w:pPr>
              <w:spacing w:after="0"/>
              <w:rPr>
                <w:sz w:val="8"/>
                <w:szCs w:val="8"/>
                <w:color w:val="auto"/>
              </w:rPr>
            </w:pPr>
          </w:p>
        </w:tc>
        <w:tc>
          <w:tcPr>
            <w:tcW w:w="360" w:type="dxa"/>
            <w:vAlign w:val="bottom"/>
            <w:tcBorders>
              <w:top w:val="single" w:sz="8" w:color="auto"/>
              <w:bottom w:val="single" w:sz="8" w:color="auto"/>
            </w:tcBorders>
          </w:tcPr>
          <w:p>
            <w:pPr>
              <w:jc w:val="right"/>
              <w:ind w:right="20"/>
              <w:spacing w:after="0" w:line="94" w:lineRule="exact"/>
              <w:rPr>
                <w:sz w:val="20"/>
                <w:szCs w:val="20"/>
                <w:color w:val="auto"/>
              </w:rPr>
            </w:pPr>
            <w:r>
              <w:rPr>
                <w:rFonts w:ascii="Times New Roman" w:cs="Times New Roman" w:eastAsia="Times New Roman" w:hAnsi="Times New Roman"/>
                <w:sz w:val="10"/>
                <w:szCs w:val="10"/>
                <w:b w:val="1"/>
                <w:bCs w:val="1"/>
                <w:color w:val="auto"/>
              </w:rPr>
              <w:t>2026</w:t>
            </w:r>
          </w:p>
        </w:tc>
        <w:tc>
          <w:tcPr>
            <w:tcW w:w="260" w:type="dxa"/>
            <w:vAlign w:val="bottom"/>
            <w:tcBorders>
              <w:top w:val="single" w:sz="8" w:color="auto"/>
              <w:bottom w:val="single" w:sz="8" w:color="CCEEFF"/>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18"/>
              <w:spacing w:after="0" w:line="94" w:lineRule="exact"/>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8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3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211</w:t>
            </w: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209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Less cash impact of:</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intangible assets</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Capitalized software</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(142)</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51"/>
        </w:trPr>
        <w:tc>
          <w:tcPr>
            <w:tcW w:w="4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Free cash flow</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w:t>
            </w:r>
          </w:p>
        </w:tc>
        <w:tc>
          <w:tcPr>
            <w:tcW w:w="260" w:type="dxa"/>
            <w:vAlign w:val="bottom"/>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Purchases of intangible assets with extended payment terms</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Less movements in:</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Player deposits - investments</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Player deposit liability</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(107)</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Free cash flow including financing capex and excluding player funds</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(91)</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(117)</w:t>
            </w:r>
          </w:p>
        </w:tc>
        <w:tc>
          <w:tcPr>
            <w:tcW w:w="0" w:type="dxa"/>
            <w:vAlign w:val="bottom"/>
          </w:tcPr>
          <w:p>
            <w:pPr>
              <w:spacing w:after="0"/>
              <w:rPr>
                <w:sz w:val="1"/>
                <w:szCs w:val="1"/>
                <w:color w:val="auto"/>
              </w:rPr>
            </w:pPr>
          </w:p>
        </w:tc>
      </w:tr>
      <w:tr>
        <w:trPr>
          <w:trHeight w:val="265"/>
        </w:trPr>
        <w:tc>
          <w:tcPr>
            <w:tcW w:w="4820" w:type="dxa"/>
            <w:vAlign w:val="bottom"/>
          </w:tcPr>
          <w:p>
            <w:pPr>
              <w:ind w:left="2880"/>
              <w:spacing w:after="0"/>
              <w:rPr>
                <w:sz w:val="20"/>
                <w:szCs w:val="20"/>
                <w:color w:val="auto"/>
              </w:rPr>
            </w:pPr>
            <w:r>
              <w:rPr>
                <w:rFonts w:ascii="Times New Roman" w:cs="Times New Roman" w:eastAsia="Times New Roman" w:hAnsi="Times New Roman"/>
                <w:sz w:val="13"/>
                <w:szCs w:val="13"/>
                <w:color w:val="auto"/>
              </w:rPr>
              <w:t>25</w:t>
            </w:r>
          </w:p>
        </w:tc>
        <w:tc>
          <w:tcPr>
            <w:tcW w:w="36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Constant currency and organic reconciliation</w:t>
      </w:r>
    </w:p>
    <w:p>
      <w:pPr>
        <w:spacing w:after="0" w:line="80"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See below a reconciliation of constant currency and organic revenue and adjusted EBITDA to nominal currency revenue and segment adjusted EBITDA, the most comparable GAAP measure.</w:t>
      </w:r>
    </w:p>
    <w:p>
      <w:pPr>
        <w:spacing w:after="0" w:line="12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27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Q3 2026</w:t>
            </w:r>
          </w:p>
        </w:tc>
        <w:tc>
          <w:tcPr>
            <w:tcW w:w="1600" w:type="dxa"/>
            <w:vAlign w:val="bottom"/>
          </w:tcPr>
          <w:p>
            <w:pPr>
              <w:spacing w:after="0"/>
              <w:rPr>
                <w:sz w:val="10"/>
                <w:szCs w:val="10"/>
                <w:color w:val="auto"/>
              </w:rPr>
            </w:pP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4"/>
              </w:rPr>
              <w:t>Reported</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FX impact</w:t>
            </w:r>
            <w:r>
              <w:rPr>
                <w:rFonts w:ascii="Times New Roman" w:cs="Times New Roman" w:eastAsia="Times New Roman" w:hAnsi="Times New Roman"/>
                <w:sz w:val="7"/>
                <w:szCs w:val="7"/>
                <w:b w:val="1"/>
                <w:bCs w:val="1"/>
                <w:color w:val="auto"/>
              </w:rPr>
              <w:t>1</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w w:val="92"/>
              </w:rPr>
              <w:t>Constant</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India exit</w:t>
            </w:r>
            <w:r>
              <w:rPr>
                <w:rFonts w:ascii="Times New Roman" w:cs="Times New Roman" w:eastAsia="Times New Roman" w:hAnsi="Times New Roman"/>
                <w:sz w:val="7"/>
                <w:szCs w:val="7"/>
                <w:b w:val="1"/>
                <w:bCs w:val="1"/>
                <w:color w:val="auto"/>
              </w:rPr>
              <w:t>2</w:t>
            </w: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Organic</w:t>
            </w:r>
          </w:p>
        </w:tc>
        <w:tc>
          <w:tcPr>
            <w:tcW w:w="0" w:type="dxa"/>
            <w:vAlign w:val="bottom"/>
          </w:tcPr>
          <w:p>
            <w:pPr>
              <w:spacing w:after="0"/>
              <w:rPr>
                <w:sz w:val="1"/>
                <w:szCs w:val="1"/>
                <w:color w:val="auto"/>
              </w:rPr>
            </w:pPr>
          </w:p>
        </w:tc>
      </w:tr>
      <w:tr>
        <w:trPr>
          <w:trHeight w:val="121"/>
        </w:trPr>
        <w:tc>
          <w:tcPr>
            <w:tcW w:w="276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w w:val="93"/>
              </w:rPr>
              <w:t>currency</w:t>
            </w:r>
          </w:p>
        </w:tc>
        <w:tc>
          <w:tcPr>
            <w:tcW w:w="740" w:type="dxa"/>
            <w:vAlign w:val="bottom"/>
            <w:gridSpan w:val="2"/>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7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US revenue</w:t>
            </w:r>
          </w:p>
        </w:tc>
        <w:tc>
          <w:tcPr>
            <w:tcW w:w="16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1,455</w:t>
            </w:r>
          </w:p>
        </w:tc>
        <w:tc>
          <w:tcPr>
            <w:tcW w:w="3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1,455</w:t>
            </w:r>
          </w:p>
        </w:tc>
        <w:tc>
          <w:tcPr>
            <w:tcW w:w="3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UKI sportsbook revenue</w:t>
            </w:r>
          </w:p>
        </w:tc>
        <w:tc>
          <w:tcPr>
            <w:tcW w:w="23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309</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309</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UKI iGaming revenue</w:t>
            </w:r>
          </w:p>
        </w:tc>
        <w:tc>
          <w:tcPr>
            <w:tcW w:w="2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540</w:t>
            </w: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540</w:t>
            </w: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540</w:t>
            </w:r>
          </w:p>
        </w:tc>
        <w:tc>
          <w:tcPr>
            <w:tcW w:w="0" w:type="dxa"/>
            <w:vAlign w:val="bottom"/>
          </w:tcPr>
          <w:p>
            <w:pPr>
              <w:spacing w:after="0"/>
              <w:rPr>
                <w:sz w:val="1"/>
                <w:szCs w:val="1"/>
                <w:color w:val="auto"/>
              </w:rPr>
            </w:pPr>
          </w:p>
        </w:tc>
      </w:tr>
      <w:tr>
        <w:trPr>
          <w:trHeight w:val="152"/>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UKI revenue</w:t>
            </w:r>
          </w:p>
        </w:tc>
        <w:tc>
          <w:tcPr>
            <w:tcW w:w="23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889</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889</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889</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SEA sportsbook revenue</w:t>
            </w:r>
          </w:p>
        </w:tc>
        <w:tc>
          <w:tcPr>
            <w:tcW w:w="2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252</w:t>
            </w: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252</w:t>
            </w: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52"/>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SEA iGaming revenue</w:t>
            </w:r>
          </w:p>
        </w:tc>
        <w:tc>
          <w:tcPr>
            <w:tcW w:w="23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573</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573</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573</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SEA revenue</w:t>
            </w:r>
          </w:p>
        </w:tc>
        <w:tc>
          <w:tcPr>
            <w:tcW w:w="2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836</w:t>
            </w: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836</w:t>
            </w: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836</w:t>
            </w:r>
          </w:p>
        </w:tc>
        <w:tc>
          <w:tcPr>
            <w:tcW w:w="0" w:type="dxa"/>
            <w:vAlign w:val="bottom"/>
          </w:tcPr>
          <w:p>
            <w:pPr>
              <w:spacing w:after="0"/>
              <w:rPr>
                <w:sz w:val="1"/>
                <w:szCs w:val="1"/>
                <w:color w:val="auto"/>
              </w:rPr>
            </w:pPr>
          </w:p>
        </w:tc>
      </w:tr>
      <w:tr>
        <w:trPr>
          <w:trHeight w:val="152"/>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APAC sportsbook revenue</w:t>
            </w:r>
          </w:p>
        </w:tc>
        <w:tc>
          <w:tcPr>
            <w:tcW w:w="23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348</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348</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348</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APAC revenue</w:t>
            </w:r>
          </w:p>
        </w:tc>
        <w:tc>
          <w:tcPr>
            <w:tcW w:w="2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349</w:t>
            </w: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349</w:t>
            </w: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349</w:t>
            </w:r>
          </w:p>
        </w:tc>
        <w:tc>
          <w:tcPr>
            <w:tcW w:w="0" w:type="dxa"/>
            <w:vAlign w:val="bottom"/>
          </w:tcPr>
          <w:p>
            <w:pPr>
              <w:spacing w:after="0"/>
              <w:rPr>
                <w:sz w:val="1"/>
                <w:szCs w:val="1"/>
                <w:color w:val="auto"/>
              </w:rPr>
            </w:pPr>
          </w:p>
        </w:tc>
      </w:tr>
      <w:tr>
        <w:trPr>
          <w:trHeight w:val="152"/>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CEE revenue</w:t>
            </w:r>
          </w:p>
        </w:tc>
        <w:tc>
          <w:tcPr>
            <w:tcW w:w="23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166</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166</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Brazil revenue</w:t>
            </w:r>
          </w:p>
        </w:tc>
        <w:tc>
          <w:tcPr>
            <w:tcW w:w="2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60</w:t>
            </w: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60</w:t>
            </w: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Other regions revenue</w:t>
            </w:r>
          </w:p>
        </w:tc>
        <w:tc>
          <w:tcPr>
            <w:tcW w:w="23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119</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119</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International sportsbook revenue</w:t>
            </w:r>
          </w:p>
        </w:tc>
        <w:tc>
          <w:tcPr>
            <w:tcW w:w="2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963</w:t>
            </w: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963</w:t>
            </w: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963</w:t>
            </w:r>
          </w:p>
        </w:tc>
        <w:tc>
          <w:tcPr>
            <w:tcW w:w="0" w:type="dxa"/>
            <w:vAlign w:val="bottom"/>
          </w:tcPr>
          <w:p>
            <w:pPr>
              <w:spacing w:after="0"/>
              <w:rPr>
                <w:sz w:val="1"/>
                <w:szCs w:val="1"/>
                <w:color w:val="auto"/>
              </w:rPr>
            </w:pPr>
          </w:p>
        </w:tc>
      </w:tr>
      <w:tr>
        <w:trPr>
          <w:trHeight w:val="152"/>
        </w:trPr>
        <w:tc>
          <w:tcPr>
            <w:tcW w:w="276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 iGaming revenue</w:t>
            </w:r>
          </w:p>
        </w:tc>
        <w:tc>
          <w:tcPr>
            <w:tcW w:w="23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1,379</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1,379</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International revenue</w:t>
            </w:r>
          </w:p>
        </w:tc>
        <w:tc>
          <w:tcPr>
            <w:tcW w:w="2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2,419</w:t>
            </w: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2,419</w:t>
            </w: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2,419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Group revenue</w:t>
            </w:r>
          </w:p>
        </w:tc>
        <w:tc>
          <w:tcPr>
            <w:tcW w:w="160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3,874</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3,874</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US adjusted EBITDA</w:t>
            </w:r>
          </w:p>
        </w:tc>
        <w:tc>
          <w:tcPr>
            <w:tcW w:w="23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3</w:t>
            </w: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3</w:t>
            </w: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International adjusted EBITDA</w:t>
            </w:r>
          </w:p>
        </w:tc>
        <w:tc>
          <w:tcPr>
            <w:tcW w:w="23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435</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435</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435</w:t>
            </w: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Unallocated corporate overhead</w:t>
            </w:r>
          </w:p>
        </w:tc>
        <w:tc>
          <w:tcPr>
            <w:tcW w:w="2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(78)</w:t>
            </w: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(78)</w:t>
            </w: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Group adjusted EBITDA</w:t>
            </w:r>
            <w:r>
              <w:rPr>
                <w:rFonts w:ascii="Times New Roman" w:cs="Times New Roman" w:eastAsia="Times New Roman" w:hAnsi="Times New Roman"/>
                <w:sz w:val="18"/>
                <w:szCs w:val="18"/>
                <w:b w:val="1"/>
                <w:bCs w:val="1"/>
                <w:color w:val="auto"/>
                <w:vertAlign w:val="superscript"/>
              </w:rPr>
              <w:t>4</w:t>
            </w:r>
          </w:p>
        </w:tc>
        <w:tc>
          <w:tcPr>
            <w:tcW w:w="1600" w:type="dxa"/>
            <w:vAlign w:val="bottom"/>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360</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360</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760" w:type="dxa"/>
            <w:vAlign w:val="bottom"/>
          </w:tcPr>
          <w:p>
            <w:pPr>
              <w:spacing w:after="0"/>
              <w:rPr>
                <w:sz w:val="14"/>
                <w:szCs w:val="14"/>
                <w:color w:val="auto"/>
              </w:rPr>
            </w:pPr>
          </w:p>
        </w:tc>
        <w:tc>
          <w:tcPr>
            <w:tcW w:w="160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26</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29" w:right="1440"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15"/>
        </w:trPr>
        <w:tc>
          <w:tcPr>
            <w:tcW w:w="4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Q3 2025</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4"/>
              </w:rPr>
              <w:t>Reported</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FX impact</w:t>
            </w:r>
            <w:r>
              <w:rPr>
                <w:rFonts w:ascii="Times New Roman" w:cs="Times New Roman" w:eastAsia="Times New Roman" w:hAnsi="Times New Roman"/>
                <w:sz w:val="7"/>
                <w:szCs w:val="7"/>
                <w:b w:val="1"/>
                <w:bCs w:val="1"/>
                <w:color w:val="auto"/>
              </w:rPr>
              <w:t>1</w:t>
            </w:r>
          </w:p>
        </w:tc>
        <w:tc>
          <w:tcPr>
            <w:tcW w:w="200" w:type="dxa"/>
            <w:vAlign w:val="bottom"/>
          </w:tcPr>
          <w:p>
            <w:pPr>
              <w:spacing w:after="0"/>
              <w:rPr>
                <w:sz w:val="10"/>
                <w:szCs w:val="10"/>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7"/>
              </w:rPr>
              <w:t>Constant</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India exit</w:t>
            </w:r>
            <w:r>
              <w:rPr>
                <w:rFonts w:ascii="Times New Roman" w:cs="Times New Roman" w:eastAsia="Times New Roman" w:hAnsi="Times New Roman"/>
                <w:sz w:val="7"/>
                <w:szCs w:val="7"/>
                <w:b w:val="1"/>
                <w:bCs w:val="1"/>
                <w:color w:val="auto"/>
              </w:rPr>
              <w:t>2</w:t>
            </w: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Organic</w:t>
            </w:r>
          </w:p>
        </w:tc>
        <w:tc>
          <w:tcPr>
            <w:tcW w:w="0" w:type="dxa"/>
            <w:vAlign w:val="bottom"/>
          </w:tcPr>
          <w:p>
            <w:pPr>
              <w:spacing w:after="0"/>
              <w:rPr>
                <w:sz w:val="1"/>
                <w:szCs w:val="1"/>
                <w:color w:val="auto"/>
              </w:rPr>
            </w:pPr>
          </w:p>
        </w:tc>
      </w:tr>
      <w:tr>
        <w:trPr>
          <w:trHeight w:val="121"/>
        </w:trPr>
        <w:tc>
          <w:tcPr>
            <w:tcW w:w="460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9"/>
              </w:rPr>
              <w:t>currency</w:t>
            </w:r>
          </w:p>
        </w:tc>
        <w:tc>
          <w:tcPr>
            <w:tcW w:w="680" w:type="dxa"/>
            <w:vAlign w:val="bottom"/>
            <w:gridSpan w:val="2"/>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60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US revenue</w:t>
            </w: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1,368</w:t>
            </w: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2"/>
              </w:rPr>
              <w:t>(2)</w:t>
            </w:r>
          </w:p>
        </w:tc>
        <w:tc>
          <w:tcPr>
            <w:tcW w:w="2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1,366</w:t>
            </w:r>
          </w:p>
        </w:tc>
        <w:tc>
          <w:tcPr>
            <w:tcW w:w="2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UKI sportsbook revenue</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330</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330</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330</w:t>
            </w:r>
          </w:p>
        </w:tc>
        <w:tc>
          <w:tcPr>
            <w:tcW w:w="0" w:type="dxa"/>
            <w:vAlign w:val="bottom"/>
          </w:tcPr>
          <w:p>
            <w:pPr>
              <w:spacing w:after="0"/>
              <w:rPr>
                <w:sz w:val="1"/>
                <w:szCs w:val="1"/>
                <w:color w:val="auto"/>
              </w:rPr>
            </w:pPr>
          </w:p>
        </w:tc>
      </w:tr>
      <w:tr>
        <w:trPr>
          <w:trHeight w:val="15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UKI iGaming revenue</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484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483</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483</w:t>
            </w:r>
          </w:p>
        </w:tc>
        <w:tc>
          <w:tcPr>
            <w:tcW w:w="0" w:type="dxa"/>
            <w:vAlign w:val="bottom"/>
          </w:tcPr>
          <w:p>
            <w:pPr>
              <w:spacing w:after="0"/>
              <w:rPr>
                <w:sz w:val="1"/>
                <w:szCs w:val="1"/>
                <w:color w:val="auto"/>
              </w:rPr>
            </w:pPr>
          </w:p>
        </w:tc>
      </w:tr>
      <w:tr>
        <w:trPr>
          <w:trHeight w:val="15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UKI revenue</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853</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851</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851</w:t>
            </w:r>
          </w:p>
        </w:tc>
        <w:tc>
          <w:tcPr>
            <w:tcW w:w="0" w:type="dxa"/>
            <w:vAlign w:val="bottom"/>
          </w:tcPr>
          <w:p>
            <w:pPr>
              <w:spacing w:after="0"/>
              <w:rPr>
                <w:sz w:val="1"/>
                <w:szCs w:val="1"/>
                <w:color w:val="auto"/>
              </w:rPr>
            </w:pPr>
          </w:p>
        </w:tc>
      </w:tr>
      <w:tr>
        <w:trPr>
          <w:trHeight w:val="15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SEA sportsbook revenue</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244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240</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r>
        <w:trPr>
          <w:trHeight w:val="15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SEA iGaming revenue</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488</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(7)</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481</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481</w:t>
            </w:r>
          </w:p>
        </w:tc>
        <w:tc>
          <w:tcPr>
            <w:tcW w:w="0" w:type="dxa"/>
            <w:vAlign w:val="bottom"/>
          </w:tcPr>
          <w:p>
            <w:pPr>
              <w:spacing w:after="0"/>
              <w:rPr>
                <w:sz w:val="1"/>
                <w:szCs w:val="1"/>
                <w:color w:val="auto"/>
              </w:rPr>
            </w:pPr>
          </w:p>
        </w:tc>
      </w:tr>
      <w:tr>
        <w:trPr>
          <w:trHeight w:val="15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SEA revenue</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743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732</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732</w:t>
            </w:r>
          </w:p>
        </w:tc>
        <w:tc>
          <w:tcPr>
            <w:tcW w:w="0" w:type="dxa"/>
            <w:vAlign w:val="bottom"/>
          </w:tcPr>
          <w:p>
            <w:pPr>
              <w:spacing w:after="0"/>
              <w:rPr>
                <w:sz w:val="1"/>
                <w:szCs w:val="1"/>
                <w:color w:val="auto"/>
              </w:rPr>
            </w:pPr>
          </w:p>
        </w:tc>
      </w:tr>
      <w:tr>
        <w:trPr>
          <w:trHeight w:val="15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APAC sportsbook revenue</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336</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362</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15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APAC revenue</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363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387</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(24)</w:t>
            </w:r>
          </w:p>
        </w:tc>
        <w:tc>
          <w:tcPr>
            <w:tcW w:w="2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363</w:t>
            </w:r>
          </w:p>
        </w:tc>
        <w:tc>
          <w:tcPr>
            <w:tcW w:w="0" w:type="dxa"/>
            <w:vAlign w:val="bottom"/>
          </w:tcPr>
          <w:p>
            <w:pPr>
              <w:spacing w:after="0"/>
              <w:rPr>
                <w:sz w:val="1"/>
                <w:szCs w:val="1"/>
                <w:color w:val="auto"/>
              </w:rPr>
            </w:pPr>
          </w:p>
        </w:tc>
      </w:tr>
      <w:tr>
        <w:trPr>
          <w:trHeight w:val="15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CEE revenue</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151</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150</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5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Brazil revenue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Other regions revenue</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229</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227</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227</w:t>
            </w:r>
          </w:p>
        </w:tc>
        <w:tc>
          <w:tcPr>
            <w:tcW w:w="0" w:type="dxa"/>
            <w:vAlign w:val="bottom"/>
          </w:tcPr>
          <w:p>
            <w:pPr>
              <w:spacing w:after="0"/>
              <w:rPr>
                <w:sz w:val="1"/>
                <w:szCs w:val="1"/>
                <w:color w:val="auto"/>
              </w:rPr>
            </w:pPr>
          </w:p>
        </w:tc>
      </w:tr>
      <w:tr>
        <w:trPr>
          <w:trHeight w:val="15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International sportsbook revenue</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982</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 iGaming revenue</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28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(24)</w:t>
            </w:r>
          </w:p>
        </w:tc>
        <w:tc>
          <w:tcPr>
            <w:tcW w:w="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International revenue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2,426</w:t>
            </w: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2,439</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(24)</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2,415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Group revenue</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3,794</w:t>
            </w:r>
          </w:p>
        </w:tc>
        <w:tc>
          <w:tcPr>
            <w:tcW w:w="280" w:type="dxa"/>
            <w:vAlign w:val="bottom"/>
          </w:tcPr>
          <w:p>
            <w:pPr>
              <w:spacing w:after="0"/>
              <w:rPr>
                <w:sz w:val="13"/>
                <w:szCs w:val="13"/>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11</w:t>
            </w:r>
          </w:p>
        </w:tc>
        <w:tc>
          <w:tcPr>
            <w:tcW w:w="20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3,805</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US adjusted EBITDA</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w:t>
            </w: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1"/>
              </w:rPr>
              <w:t>— 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w:t>
            </w: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International adjusted EBITDA</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505</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506</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501</w:t>
            </w:r>
          </w:p>
        </w:tc>
        <w:tc>
          <w:tcPr>
            <w:tcW w:w="0" w:type="dxa"/>
            <w:vAlign w:val="bottom"/>
          </w:tcPr>
          <w:p>
            <w:pPr>
              <w:spacing w:after="0"/>
              <w:rPr>
                <w:sz w:val="1"/>
                <w:szCs w:val="1"/>
                <w:color w:val="auto"/>
              </w:rPr>
            </w:pPr>
          </w:p>
        </w:tc>
      </w:tr>
      <w:tr>
        <w:trPr>
          <w:trHeight w:val="15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Unallocated corporate overhead</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(78)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(81)</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Group adjusted EBITDA</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280" w:type="dxa"/>
            <w:vAlign w:val="bottom"/>
          </w:tcPr>
          <w:p>
            <w:pPr>
              <w:spacing w:after="0"/>
              <w:rPr>
                <w:sz w:val="13"/>
                <w:szCs w:val="13"/>
                <w:color w:val="auto"/>
              </w:rPr>
            </w:pP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20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476</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940" w:right="679" w:hanging="303"/>
        <w:spacing w:after="0" w:line="248" w:lineRule="auto"/>
        <w:tabs>
          <w:tab w:leader="none" w:pos="9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Representing adjustments to identify the year-over-year movement driven by changes to foreign currency exchange rates, calculated by translating prior period amounts using the average exchange rates from the current period rather than the actual average exchange rates in effect in the prior period. The resulting figures are referred to as constant currency comparatives. The subsequent amounts adjusted for acquisitions and the India market exit are likewise shown on a constant currency basis.</w:t>
      </w:r>
    </w:p>
    <w:p>
      <w:pPr>
        <w:spacing w:after="0" w:line="1" w:lineRule="exact"/>
        <w:rPr>
          <w:rFonts w:ascii="Times New Roman" w:cs="Times New Roman" w:eastAsia="Times New Roman" w:hAnsi="Times New Roman"/>
          <w:sz w:val="13"/>
          <w:szCs w:val="13"/>
          <w:color w:val="auto"/>
        </w:rPr>
      </w:pPr>
    </w:p>
    <w:p>
      <w:pPr>
        <w:ind w:left="940" w:right="719" w:hanging="303"/>
        <w:spacing w:after="0" w:line="243" w:lineRule="auto"/>
        <w:tabs>
          <w:tab w:leader="none" w:pos="9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Representing adjustments to exclude the impacts resulting from the enactment of the Promotion and Regulation of Online Gaming Act 2025, which required Junglee and all other operators to immediately stop real-money gaming services. As such, any revenue or adjusted EBITDA generated between July 1, 2025, and August 31, 2025 has been excluded from organic figures to facilitate meaningful analysis and comparison of our underlying growth year-over-year.</w:t>
      </w:r>
    </w:p>
    <w:p>
      <w:pPr>
        <w:spacing w:after="0" w:line="1" w:lineRule="exact"/>
        <w:rPr>
          <w:rFonts w:ascii="Times New Roman" w:cs="Times New Roman" w:eastAsia="Times New Roman" w:hAnsi="Times New Roman"/>
          <w:sz w:val="13"/>
          <w:szCs w:val="13"/>
          <w:color w:val="auto"/>
        </w:rPr>
      </w:pPr>
    </w:p>
    <w:p>
      <w:pPr>
        <w:ind w:left="940" w:right="699" w:hanging="303"/>
        <w:spacing w:after="0" w:line="246" w:lineRule="auto"/>
        <w:tabs>
          <w:tab w:leader="none" w:pos="94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Group adjusted EBITDA has been reconciled to net income above, the most directly comparable financial measures calculated in accordance with GAAP.</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16"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results in the following year-over-year growth rates: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4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Q3 2026</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7"/>
              </w:rPr>
              <w:t>YoY reported</w:t>
            </w:r>
          </w:p>
        </w:tc>
        <w:tc>
          <w:tcPr>
            <w:tcW w:w="480" w:type="dxa"/>
            <w:vAlign w:val="bottom"/>
            <w:vMerge w:val="restart"/>
          </w:tcPr>
          <w:p>
            <w:pPr>
              <w:spacing w:after="0"/>
              <w:rPr>
                <w:sz w:val="10"/>
                <w:szCs w:val="10"/>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7"/>
              </w:rPr>
              <w:t>FX impact</w:t>
            </w:r>
          </w:p>
        </w:tc>
        <w:tc>
          <w:tcPr>
            <w:tcW w:w="300" w:type="dxa"/>
            <w:vAlign w:val="bottom"/>
          </w:tcPr>
          <w:p>
            <w:pPr>
              <w:spacing w:after="0"/>
              <w:rPr>
                <w:sz w:val="10"/>
                <w:szCs w:val="10"/>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YoY CC</w:t>
            </w:r>
          </w:p>
        </w:tc>
        <w:tc>
          <w:tcPr>
            <w:tcW w:w="480" w:type="dxa"/>
            <w:vAlign w:val="bottom"/>
            <w:vMerge w:val="restart"/>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Organic</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YoY organic</w:t>
            </w:r>
          </w:p>
        </w:tc>
        <w:tc>
          <w:tcPr>
            <w:tcW w:w="2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80" w:type="dxa"/>
            <w:vAlign w:val="bottom"/>
            <w:tcBorders>
              <w:bottom w:val="single" w:sz="8" w:color="CCEEFF"/>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480" w:type="dxa"/>
            <w:vAlign w:val="bottom"/>
            <w:tcBorders>
              <w:bottom w:val="single" w:sz="8" w:color="CCEEFF"/>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480" w:type="dxa"/>
            <w:vAlign w:val="bottom"/>
            <w:tcBorders>
              <w:bottom w:val="single" w:sz="8" w:color="CCEEFF"/>
            </w:tcBorders>
            <w:vMerge w:val="continue"/>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2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US revenue</w:t>
            </w:r>
          </w:p>
        </w:tc>
        <w:tc>
          <w:tcPr>
            <w:tcW w:w="1080" w:type="dxa"/>
            <w:vAlign w:val="bottom"/>
            <w:gridSpan w:val="2"/>
            <w:shd w:val="clear" w:color="auto" w:fill="CCEEFF"/>
          </w:tcPr>
          <w:p>
            <w:pPr>
              <w:ind w:left="460"/>
              <w:spacing w:after="0" w:line="141" w:lineRule="exact"/>
              <w:rPr>
                <w:sz w:val="20"/>
                <w:szCs w:val="20"/>
                <w:color w:val="auto"/>
              </w:rPr>
            </w:pPr>
            <w:r>
              <w:rPr>
                <w:rFonts w:ascii="Times New Roman" w:cs="Times New Roman" w:eastAsia="Times New Roman" w:hAnsi="Times New Roman"/>
                <w:sz w:val="13"/>
                <w:szCs w:val="13"/>
                <w:b w:val="1"/>
                <w:bCs w:val="1"/>
                <w:color w:val="auto"/>
              </w:rPr>
              <w:t>+6%</w:t>
            </w:r>
          </w:p>
        </w:tc>
        <w:tc>
          <w:tcPr>
            <w:tcW w:w="46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2"/>
              </w:rPr>
              <w:t>(1)%</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20"/>
              <w:spacing w:after="0" w:line="141" w:lineRule="exact"/>
              <w:rPr>
                <w:sz w:val="20"/>
                <w:szCs w:val="20"/>
                <w:color w:val="auto"/>
              </w:rPr>
            </w:pPr>
            <w:r>
              <w:rPr>
                <w:rFonts w:ascii="Times New Roman" w:cs="Times New Roman" w:eastAsia="Times New Roman" w:hAnsi="Times New Roman"/>
                <w:sz w:val="13"/>
                <w:szCs w:val="13"/>
                <w:b w:val="1"/>
                <w:bCs w:val="1"/>
                <w:color w:val="auto"/>
              </w:rPr>
              <w:t>+7%</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UKI sportsbook revenue</w:t>
            </w:r>
          </w:p>
        </w:tc>
        <w:tc>
          <w:tcPr>
            <w:tcW w:w="1080" w:type="dxa"/>
            <w:vAlign w:val="bottom"/>
            <w:gridSpan w:val="2"/>
          </w:tcPr>
          <w:p>
            <w:pPr>
              <w:jc w:val="right"/>
              <w:ind w:right="277"/>
              <w:spacing w:after="0"/>
              <w:rPr>
                <w:sz w:val="20"/>
                <w:szCs w:val="20"/>
                <w:color w:val="auto"/>
              </w:rPr>
            </w:pPr>
            <w:r>
              <w:rPr>
                <w:rFonts w:ascii="Times New Roman" w:cs="Times New Roman" w:eastAsia="Times New Roman" w:hAnsi="Times New Roman"/>
                <w:sz w:val="13"/>
                <w:szCs w:val="13"/>
                <w:color w:val="auto"/>
              </w:rPr>
              <w:t>(6)%</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3"/>
              </w:rPr>
              <w:t>—  %</w:t>
            </w:r>
          </w:p>
        </w:tc>
        <w:tc>
          <w:tcPr>
            <w:tcW w:w="1140" w:type="dxa"/>
            <w:vAlign w:val="bottom"/>
            <w:gridSpan w:val="3"/>
          </w:tcPr>
          <w:p>
            <w:pPr>
              <w:jc w:val="right"/>
              <w:ind w:right="277"/>
              <w:spacing w:after="0"/>
              <w:rPr>
                <w:sz w:val="20"/>
                <w:szCs w:val="20"/>
                <w:color w:val="auto"/>
              </w:rPr>
            </w:pPr>
            <w:r>
              <w:rPr>
                <w:rFonts w:ascii="Times New Roman" w:cs="Times New Roman" w:eastAsia="Times New Roman" w:hAnsi="Times New Roman"/>
                <w:sz w:val="13"/>
                <w:szCs w:val="13"/>
                <w:color w:val="auto"/>
              </w:rPr>
              <w:t>(6)%</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89"/>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5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UKI iGaming revenue</w:t>
            </w:r>
          </w:p>
        </w:tc>
        <w:tc>
          <w:tcPr>
            <w:tcW w:w="1080" w:type="dxa"/>
            <w:vAlign w:val="bottom"/>
            <w:gridSpan w:val="2"/>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+12%</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3"/>
              </w:rPr>
              <w:t>—  %</w:t>
            </w:r>
          </w:p>
        </w:tc>
        <w:tc>
          <w:tcPr>
            <w:tcW w:w="1140" w:type="dxa"/>
            <w:vAlign w:val="bottom"/>
            <w:gridSpan w:val="3"/>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+12%</w:t>
            </w:r>
          </w:p>
        </w:tc>
        <w:tc>
          <w:tcPr>
            <w:tcW w:w="8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89"/>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UKI revenue</w:t>
            </w: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3"/>
              </w:rPr>
              <w:t>—  %</w:t>
            </w:r>
          </w:p>
        </w:tc>
        <w:tc>
          <w:tcPr>
            <w:tcW w:w="114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+4%</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89"/>
              </w:rPr>
              <w:t>—  %</w:t>
            </w:r>
          </w:p>
        </w:tc>
        <w:tc>
          <w:tcPr>
            <w:tcW w:w="760" w:type="dxa"/>
            <w:vAlign w:val="bottom"/>
            <w:gridSpan w:val="2"/>
          </w:tcPr>
          <w:p>
            <w:pPr>
              <w:jc w:val="center"/>
              <w:ind w:left="218"/>
              <w:spacing w:after="0"/>
              <w:rPr>
                <w:sz w:val="20"/>
                <w:szCs w:val="20"/>
                <w:color w:val="auto"/>
              </w:rPr>
            </w:pPr>
            <w:r>
              <w:rPr>
                <w:rFonts w:ascii="Times New Roman" w:cs="Times New Roman" w:eastAsia="Times New Roman" w:hAnsi="Times New Roman"/>
                <w:sz w:val="13"/>
                <w:szCs w:val="13"/>
                <w:color w:val="auto"/>
                <w:w w:val="97"/>
              </w:rPr>
              <w:t>+4%</w:t>
            </w:r>
          </w:p>
        </w:tc>
        <w:tc>
          <w:tcPr>
            <w:tcW w:w="0" w:type="dxa"/>
            <w:vAlign w:val="bottom"/>
          </w:tcPr>
          <w:p>
            <w:pPr>
              <w:spacing w:after="0"/>
              <w:rPr>
                <w:sz w:val="1"/>
                <w:szCs w:val="1"/>
                <w:color w:val="auto"/>
              </w:rPr>
            </w:pPr>
          </w:p>
        </w:tc>
      </w:tr>
      <w:tr>
        <w:trPr>
          <w:trHeight w:val="15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SEA sportsbook revenue</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11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+5%</w:t>
            </w:r>
          </w:p>
        </w:tc>
        <w:tc>
          <w:tcPr>
            <w:tcW w:w="8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89"/>
              </w:rPr>
              <w:t>—  %</w:t>
            </w:r>
          </w:p>
        </w:tc>
        <w:tc>
          <w:tcPr>
            <w:tcW w:w="760" w:type="dxa"/>
            <w:vAlign w:val="bottom"/>
            <w:gridSpan w:val="2"/>
            <w:shd w:val="clear" w:color="auto" w:fill="CCEEFF"/>
          </w:tcPr>
          <w:p>
            <w:pPr>
              <w:jc w:val="center"/>
              <w:ind w:left="218"/>
              <w:spacing w:after="0"/>
              <w:rPr>
                <w:sz w:val="20"/>
                <w:szCs w:val="20"/>
                <w:color w:val="auto"/>
              </w:rPr>
            </w:pPr>
            <w:r>
              <w:rPr>
                <w:rFonts w:ascii="Times New Roman" w:cs="Times New Roman" w:eastAsia="Times New Roman" w:hAnsi="Times New Roman"/>
                <w:sz w:val="13"/>
                <w:szCs w:val="13"/>
                <w:color w:val="auto"/>
                <w:w w:val="97"/>
              </w:rPr>
              <w:t>+5%</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SEA iGaming revenue</w:t>
            </w:r>
          </w:p>
        </w:tc>
        <w:tc>
          <w:tcPr>
            <w:tcW w:w="108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color w:val="auto"/>
              </w:rPr>
              <w:t>+17%</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w:t>
            </w:r>
          </w:p>
        </w:tc>
        <w:tc>
          <w:tcPr>
            <w:tcW w:w="1140" w:type="dxa"/>
            <w:vAlign w:val="bottom"/>
            <w:gridSpan w:val="3"/>
          </w:tcPr>
          <w:p>
            <w:pPr>
              <w:jc w:val="right"/>
              <w:ind w:right="317"/>
              <w:spacing w:after="0"/>
              <w:rPr>
                <w:sz w:val="20"/>
                <w:szCs w:val="20"/>
                <w:color w:val="auto"/>
              </w:rPr>
            </w:pPr>
            <w:r>
              <w:rPr>
                <w:rFonts w:ascii="Times New Roman" w:cs="Times New Roman" w:eastAsia="Times New Roman" w:hAnsi="Times New Roman"/>
                <w:sz w:val="13"/>
                <w:szCs w:val="13"/>
                <w:color w:val="auto"/>
              </w:rPr>
              <w:t>+19%</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89"/>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SEA revenue</w:t>
            </w:r>
          </w:p>
        </w:tc>
        <w:tc>
          <w:tcPr>
            <w:tcW w:w="1080" w:type="dxa"/>
            <w:vAlign w:val="bottom"/>
            <w:gridSpan w:val="2"/>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140" w:type="dxa"/>
            <w:vAlign w:val="bottom"/>
            <w:gridSpan w:val="3"/>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+14%</w:t>
            </w:r>
          </w:p>
        </w:tc>
        <w:tc>
          <w:tcPr>
            <w:tcW w:w="8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89"/>
              </w:rPr>
              <w:t>—  %</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APAC sportsbook revenue</w:t>
            </w: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+8%</w:t>
            </w:r>
          </w:p>
        </w:tc>
        <w:tc>
          <w:tcPr>
            <w:tcW w:w="1140" w:type="dxa"/>
            <w:vAlign w:val="bottom"/>
            <w:gridSpan w:val="3"/>
          </w:tcPr>
          <w:p>
            <w:pPr>
              <w:jc w:val="right"/>
              <w:ind w:right="277"/>
              <w:spacing w:after="0"/>
              <w:rPr>
                <w:sz w:val="20"/>
                <w:szCs w:val="20"/>
                <w:color w:val="auto"/>
              </w:rPr>
            </w:pPr>
            <w:r>
              <w:rPr>
                <w:rFonts w:ascii="Times New Roman" w:cs="Times New Roman" w:eastAsia="Times New Roman" w:hAnsi="Times New Roman"/>
                <w:sz w:val="13"/>
                <w:szCs w:val="13"/>
                <w:color w:val="auto"/>
              </w:rPr>
              <w:t>(4)%</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89"/>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APAC revenue</w:t>
            </w:r>
          </w:p>
        </w:tc>
        <w:tc>
          <w:tcPr>
            <w:tcW w:w="1080" w:type="dxa"/>
            <w:vAlign w:val="bottom"/>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(4)%</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+6%</w:t>
            </w:r>
          </w:p>
        </w:tc>
        <w:tc>
          <w:tcPr>
            <w:tcW w:w="1140" w:type="dxa"/>
            <w:vAlign w:val="bottom"/>
            <w:gridSpan w:val="3"/>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(10)%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(6)%</w:t>
            </w: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CEE revenue</w:t>
            </w:r>
          </w:p>
        </w:tc>
        <w:tc>
          <w:tcPr>
            <w:tcW w:w="108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color w:val="auto"/>
              </w:rPr>
              <w:t>+10%</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140" w:type="dxa"/>
            <w:vAlign w:val="bottom"/>
            <w:gridSpan w:val="3"/>
          </w:tcPr>
          <w:p>
            <w:pPr>
              <w:jc w:val="right"/>
              <w:ind w:right="317"/>
              <w:spacing w:after="0"/>
              <w:rPr>
                <w:sz w:val="20"/>
                <w:szCs w:val="20"/>
                <w:color w:val="auto"/>
              </w:rPr>
            </w:pPr>
            <w:r>
              <w:rPr>
                <w:rFonts w:ascii="Times New Roman" w:cs="Times New Roman" w:eastAsia="Times New Roman" w:hAnsi="Times New Roman"/>
                <w:sz w:val="13"/>
                <w:szCs w:val="13"/>
                <w:color w:val="auto"/>
              </w:rPr>
              <w:t>+11%</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89"/>
              </w:rPr>
              <w:t>—  %</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Brazil revenue</w:t>
            </w:r>
          </w:p>
        </w:tc>
        <w:tc>
          <w:tcPr>
            <w:tcW w:w="1080" w:type="dxa"/>
            <w:vAlign w:val="bottom"/>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(31)%</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+4%</w:t>
            </w:r>
          </w:p>
        </w:tc>
        <w:tc>
          <w:tcPr>
            <w:tcW w:w="1140" w:type="dxa"/>
            <w:vAlign w:val="bottom"/>
            <w:gridSpan w:val="3"/>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(35)%</w:t>
            </w:r>
          </w:p>
        </w:tc>
        <w:tc>
          <w:tcPr>
            <w:tcW w:w="8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89"/>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Other regions revenue</w:t>
            </w:r>
          </w:p>
        </w:tc>
        <w:tc>
          <w:tcPr>
            <w:tcW w:w="1080" w:type="dxa"/>
            <w:vAlign w:val="bottom"/>
            <w:gridSpan w:val="2"/>
          </w:tcPr>
          <w:p>
            <w:pPr>
              <w:jc w:val="right"/>
              <w:ind w:right="277"/>
              <w:spacing w:after="0"/>
              <w:rPr>
                <w:sz w:val="20"/>
                <w:szCs w:val="20"/>
                <w:color w:val="auto"/>
              </w:rPr>
            </w:pPr>
            <w:r>
              <w:rPr>
                <w:rFonts w:ascii="Times New Roman" w:cs="Times New Roman" w:eastAsia="Times New Roman" w:hAnsi="Times New Roman"/>
                <w:sz w:val="13"/>
                <w:szCs w:val="13"/>
                <w:color w:val="auto"/>
              </w:rPr>
              <w:t>(48)%</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3"/>
              </w:rPr>
              <w:t>—  %</w:t>
            </w:r>
          </w:p>
        </w:tc>
        <w:tc>
          <w:tcPr>
            <w:tcW w:w="1140" w:type="dxa"/>
            <w:vAlign w:val="bottom"/>
            <w:gridSpan w:val="3"/>
          </w:tcPr>
          <w:p>
            <w:pPr>
              <w:jc w:val="right"/>
              <w:ind w:right="277"/>
              <w:spacing w:after="0"/>
              <w:rPr>
                <w:sz w:val="20"/>
                <w:szCs w:val="20"/>
                <w:color w:val="auto"/>
              </w:rPr>
            </w:pPr>
            <w:r>
              <w:rPr>
                <w:rFonts w:ascii="Times New Roman" w:cs="Times New Roman" w:eastAsia="Times New Roman" w:hAnsi="Times New Roman"/>
                <w:sz w:val="13"/>
                <w:szCs w:val="13"/>
                <w:color w:val="auto"/>
              </w:rPr>
              <w:t>(48)%</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89"/>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5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International sportsbook revenue</w:t>
            </w:r>
          </w:p>
        </w:tc>
        <w:tc>
          <w:tcPr>
            <w:tcW w:w="1080" w:type="dxa"/>
            <w:vAlign w:val="bottom"/>
            <w:gridSpan w:val="2"/>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(2)%</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+2%</w:t>
            </w:r>
          </w:p>
        </w:tc>
        <w:tc>
          <w:tcPr>
            <w:tcW w:w="1140" w:type="dxa"/>
            <w:vAlign w:val="bottom"/>
            <w:gridSpan w:val="3"/>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(4)%</w:t>
            </w:r>
          </w:p>
        </w:tc>
        <w:tc>
          <w:tcPr>
            <w:tcW w:w="8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3"/>
                <w:szCs w:val="13"/>
                <w:color w:val="auto"/>
                <w:w w:val="89"/>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 iGaming revenue</w:t>
            </w: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+1%</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14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+2%</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w:t>
            </w:r>
          </w:p>
        </w:tc>
        <w:tc>
          <w:tcPr>
            <w:tcW w:w="280" w:type="dxa"/>
            <w:vAlign w:val="bottom"/>
          </w:tcPr>
          <w:p>
            <w:pPr>
              <w:spacing w:after="0"/>
              <w:rPr>
                <w:sz w:val="13"/>
                <w:szCs w:val="13"/>
                <w:color w:val="auto"/>
              </w:rPr>
            </w:pPr>
          </w:p>
        </w:tc>
        <w:tc>
          <w:tcPr>
            <w:tcW w:w="760" w:type="dxa"/>
            <w:vAlign w:val="bottom"/>
            <w:gridSpan w:val="2"/>
          </w:tcPr>
          <w:p>
            <w:pPr>
              <w:jc w:val="center"/>
              <w:ind w:left="218"/>
              <w:spacing w:after="0"/>
              <w:rPr>
                <w:sz w:val="20"/>
                <w:szCs w:val="20"/>
                <w:color w:val="auto"/>
              </w:rPr>
            </w:pPr>
            <w:r>
              <w:rPr>
                <w:rFonts w:ascii="Times New Roman" w:cs="Times New Roman" w:eastAsia="Times New Roman" w:hAnsi="Times New Roman"/>
                <w:sz w:val="13"/>
                <w:szCs w:val="13"/>
                <w:color w:val="auto"/>
                <w:w w:val="97"/>
              </w:rPr>
              <w:t>+3%</w:t>
            </w:r>
          </w:p>
        </w:tc>
        <w:tc>
          <w:tcPr>
            <w:tcW w:w="0" w:type="dxa"/>
            <w:vAlign w:val="bottom"/>
          </w:tcPr>
          <w:p>
            <w:pPr>
              <w:spacing w:after="0"/>
              <w:rPr>
                <w:sz w:val="1"/>
                <w:szCs w:val="1"/>
                <w:color w:val="auto"/>
              </w:rPr>
            </w:pPr>
          </w:p>
        </w:tc>
      </w:tr>
      <w:tr>
        <w:trPr>
          <w:trHeight w:val="15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International revenue</w:t>
            </w:r>
          </w:p>
        </w:tc>
        <w:tc>
          <w:tcPr>
            <w:tcW w:w="1080" w:type="dxa"/>
            <w:vAlign w:val="bottom"/>
            <w:gridSpan w:val="2"/>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—  %</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w:t>
            </w:r>
          </w:p>
        </w:tc>
        <w:tc>
          <w:tcPr>
            <w:tcW w:w="1140" w:type="dxa"/>
            <w:vAlign w:val="bottom"/>
            <w:gridSpan w:val="3"/>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w:t>
            </w:r>
          </w:p>
        </w:tc>
        <w:tc>
          <w:tcPr>
            <w:tcW w:w="2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left="198"/>
              <w:spacing w:after="0"/>
              <w:rPr>
                <w:sz w:val="20"/>
                <w:szCs w:val="20"/>
                <w:color w:val="auto"/>
              </w:rPr>
            </w:pPr>
            <w:r>
              <w:rPr>
                <w:rFonts w:ascii="Times New Roman" w:cs="Times New Roman" w:eastAsia="Times New Roman" w:hAnsi="Times New Roman"/>
                <w:sz w:val="13"/>
                <w:szCs w:val="13"/>
                <w:b w:val="1"/>
                <w:bCs w:val="1"/>
                <w:color w:val="auto"/>
                <w:w w:val="83"/>
              </w:rPr>
              <w:t>—  %</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Group revenue</w:t>
            </w: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80" w:type="dxa"/>
            <w:vAlign w:val="bottom"/>
            <w:vMerge w:val="continue"/>
          </w:tcPr>
          <w:p>
            <w:pPr>
              <w:spacing w:after="0"/>
              <w:rPr>
                <w:sz w:val="13"/>
                <w:szCs w:val="13"/>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+2%</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3"/>
              </w:rPr>
              <w:t>—  %</w:t>
            </w:r>
          </w:p>
        </w:tc>
        <w:tc>
          <w:tcPr>
            <w:tcW w:w="300" w:type="dxa"/>
            <w:vAlign w:val="bottom"/>
            <w:vMerge w:val="continue"/>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+2%</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US adjusted EBITDA</w:t>
            </w:r>
          </w:p>
        </w:tc>
        <w:tc>
          <w:tcPr>
            <w:tcW w:w="1080" w:type="dxa"/>
            <w:vAlign w:val="bottom"/>
            <w:gridSpan w:val="2"/>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(94)%</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3"/>
              </w:rPr>
              <w:t>—  %</w:t>
            </w:r>
          </w:p>
        </w:tc>
        <w:tc>
          <w:tcPr>
            <w:tcW w:w="1140" w:type="dxa"/>
            <w:vAlign w:val="bottom"/>
            <w:gridSpan w:val="3"/>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(94)%</w:t>
            </w: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International adjusted EBITDA</w:t>
            </w:r>
          </w:p>
        </w:tc>
        <w:tc>
          <w:tcPr>
            <w:tcW w:w="1080" w:type="dxa"/>
            <w:vAlign w:val="bottom"/>
            <w:gridSpan w:val="2"/>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(14)%</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3"/>
              </w:rPr>
              <w:t>—  %</w:t>
            </w:r>
          </w:p>
        </w:tc>
        <w:tc>
          <w:tcPr>
            <w:tcW w:w="1140" w:type="dxa"/>
            <w:vAlign w:val="bottom"/>
            <w:gridSpan w:val="3"/>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(14)%</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w:t>
            </w:r>
          </w:p>
        </w:tc>
        <w:tc>
          <w:tcPr>
            <w:tcW w:w="28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(13)%</w:t>
            </w:r>
          </w:p>
        </w:tc>
        <w:tc>
          <w:tcPr>
            <w:tcW w:w="0" w:type="dxa"/>
            <w:vAlign w:val="bottom"/>
          </w:tcPr>
          <w:p>
            <w:pPr>
              <w:spacing w:after="0"/>
              <w:rPr>
                <w:sz w:val="1"/>
                <w:szCs w:val="1"/>
                <w:color w:val="auto"/>
              </w:rPr>
            </w:pPr>
          </w:p>
        </w:tc>
      </w:tr>
      <w:tr>
        <w:trPr>
          <w:trHeight w:val="15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Unallocated corporate overhead</w:t>
            </w:r>
          </w:p>
        </w:tc>
        <w:tc>
          <w:tcPr>
            <w:tcW w:w="1080" w:type="dxa"/>
            <w:vAlign w:val="bottom"/>
            <w:gridSpan w:val="2"/>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—  %</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+2%</w:t>
            </w:r>
          </w:p>
        </w:tc>
        <w:tc>
          <w:tcPr>
            <w:tcW w:w="1140" w:type="dxa"/>
            <w:vAlign w:val="bottom"/>
            <w:gridSpan w:val="3"/>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w:t>
            </w: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Group adjusted EBITDA</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4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300" w:type="dxa"/>
            <w:vAlign w:val="bottom"/>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w:t>
            </w:r>
          </w:p>
        </w:tc>
        <w:tc>
          <w:tcPr>
            <w:tcW w:w="4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Reconciliation of supplementary non GAAP information: Adjusted depreciation and amortization</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7"/>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Three months ended</w:t>
            </w:r>
          </w:p>
        </w:tc>
      </w:tr>
      <w:tr>
        <w:trPr>
          <w:trHeight w:val="121"/>
        </w:trPr>
        <w:tc>
          <w:tcPr>
            <w:tcW w:w="4740" w:type="dxa"/>
            <w:vAlign w:val="bottom"/>
          </w:tcPr>
          <w:p>
            <w:pPr>
              <w:spacing w:after="0"/>
              <w:rPr>
                <w:sz w:val="20"/>
                <w:szCs w:val="20"/>
                <w:color w:val="auto"/>
              </w:rPr>
            </w:pPr>
            <w:r>
              <w:rPr>
                <w:rFonts w:ascii="Times New Roman" w:cs="Times New Roman" w:eastAsia="Times New Roman" w:hAnsi="Times New Roman"/>
                <w:sz w:val="10"/>
                <w:szCs w:val="10"/>
                <w:color w:val="auto"/>
              </w:rPr>
              <w:t>($ millions)</w:t>
            </w: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September 30, 2026</w:t>
            </w:r>
          </w:p>
        </w:tc>
        <w:tc>
          <w:tcPr>
            <w:tcW w:w="2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 2025</w:t>
            </w:r>
          </w:p>
        </w:tc>
        <w:tc>
          <w:tcPr>
            <w:tcW w:w="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4"/>
        </w:trPr>
        <w:tc>
          <w:tcPr>
            <w:tcW w:w="4740" w:type="dxa"/>
            <w:vAlign w:val="bottom"/>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Unaudited</w:t>
            </w:r>
          </w:p>
        </w:tc>
        <w:tc>
          <w:tcPr>
            <w:tcW w:w="260" w:type="dxa"/>
            <w:vAlign w:val="bottom"/>
            <w:gridSpan w:val="2"/>
          </w:tcPr>
          <w:p>
            <w:pPr>
              <w:jc w:val="right"/>
              <w:ind w:right="100"/>
              <w:spacing w:after="0" w:line="94" w:lineRule="exact"/>
              <w:rPr>
                <w:sz w:val="20"/>
                <w:szCs w:val="20"/>
                <w:color w:val="auto"/>
              </w:rPr>
            </w:pPr>
            <w:r>
              <w:rPr>
                <w:rFonts w:ascii="Times New Roman" w:cs="Times New Roman" w:eastAsia="Times New Roman" w:hAnsi="Times New Roman"/>
                <w:sz w:val="10"/>
                <w:szCs w:val="10"/>
                <w:b w:val="1"/>
                <w:bCs w:val="1"/>
                <w:color w:val="auto"/>
              </w:rPr>
              <w:t>US</w:t>
            </w:r>
          </w:p>
        </w:tc>
        <w:tc>
          <w:tcPr>
            <w:tcW w:w="100" w:type="dxa"/>
            <w:vAlign w:val="bottom"/>
          </w:tcPr>
          <w:p>
            <w:pPr>
              <w:spacing w:after="0"/>
              <w:rPr>
                <w:sz w:val="8"/>
                <w:szCs w:val="8"/>
                <w:color w:val="auto"/>
              </w:rPr>
            </w:pPr>
          </w:p>
        </w:tc>
        <w:tc>
          <w:tcPr>
            <w:tcW w:w="420" w:type="dxa"/>
            <w:vAlign w:val="bottom"/>
            <w:gridSpan w:val="2"/>
          </w:tcPr>
          <w:p>
            <w:pPr>
              <w:jc w:val="right"/>
              <w:ind w:right="200"/>
              <w:spacing w:after="0" w:line="94" w:lineRule="exact"/>
              <w:rPr>
                <w:sz w:val="20"/>
                <w:szCs w:val="20"/>
                <w:color w:val="auto"/>
              </w:rPr>
            </w:pPr>
            <w:r>
              <w:rPr>
                <w:rFonts w:ascii="Times New Roman" w:cs="Times New Roman" w:eastAsia="Times New Roman" w:hAnsi="Times New Roman"/>
                <w:sz w:val="10"/>
                <w:szCs w:val="10"/>
                <w:b w:val="1"/>
                <w:bCs w:val="1"/>
                <w:color w:val="auto"/>
              </w:rPr>
              <w:t>Intl</w:t>
            </w:r>
          </w:p>
        </w:tc>
        <w:tc>
          <w:tcPr>
            <w:tcW w:w="360" w:type="dxa"/>
            <w:vAlign w:val="bottom"/>
            <w:gridSpan w:val="2"/>
          </w:tcPr>
          <w:p>
            <w:pPr>
              <w:jc w:val="center"/>
              <w:ind w:right="140"/>
              <w:spacing w:after="0" w:line="94" w:lineRule="exact"/>
              <w:rPr>
                <w:sz w:val="20"/>
                <w:szCs w:val="20"/>
                <w:color w:val="auto"/>
              </w:rPr>
            </w:pPr>
            <w:r>
              <w:rPr>
                <w:rFonts w:ascii="Times New Roman" w:cs="Times New Roman" w:eastAsia="Times New Roman" w:hAnsi="Times New Roman"/>
                <w:sz w:val="10"/>
                <w:szCs w:val="10"/>
                <w:b w:val="1"/>
                <w:bCs w:val="1"/>
                <w:color w:val="auto"/>
                <w:w w:val="98"/>
              </w:rPr>
              <w:t>Corp</w:t>
            </w:r>
          </w:p>
        </w:tc>
        <w:tc>
          <w:tcPr>
            <w:tcW w:w="26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160" w:type="dxa"/>
            <w:vAlign w:val="bottom"/>
          </w:tcPr>
          <w:p>
            <w:pPr>
              <w:spacing w:after="0"/>
              <w:rPr>
                <w:sz w:val="8"/>
                <w:szCs w:val="8"/>
                <w:color w:val="auto"/>
              </w:rPr>
            </w:pPr>
          </w:p>
        </w:tc>
        <w:tc>
          <w:tcPr>
            <w:tcW w:w="220" w:type="dxa"/>
            <w:vAlign w:val="bottom"/>
            <w:gridSpan w:val="2"/>
          </w:tcPr>
          <w:p>
            <w:pPr>
              <w:jc w:val="right"/>
              <w:ind w:right="80"/>
              <w:spacing w:after="0" w:line="94" w:lineRule="exact"/>
              <w:rPr>
                <w:sz w:val="20"/>
                <w:szCs w:val="20"/>
                <w:color w:val="auto"/>
              </w:rPr>
            </w:pPr>
            <w:r>
              <w:rPr>
                <w:rFonts w:ascii="Times New Roman" w:cs="Times New Roman" w:eastAsia="Times New Roman" w:hAnsi="Times New Roman"/>
                <w:sz w:val="10"/>
                <w:szCs w:val="10"/>
                <w:b w:val="1"/>
                <w:bCs w:val="1"/>
                <w:color w:val="auto"/>
                <w:w w:val="93"/>
              </w:rPr>
              <w:t>US</w:t>
            </w:r>
          </w:p>
        </w:tc>
        <w:tc>
          <w:tcPr>
            <w:tcW w:w="100" w:type="dxa"/>
            <w:vAlign w:val="bottom"/>
          </w:tcPr>
          <w:p>
            <w:pPr>
              <w:spacing w:after="0"/>
              <w:rPr>
                <w:sz w:val="8"/>
                <w:szCs w:val="8"/>
                <w:color w:val="auto"/>
              </w:rPr>
            </w:pPr>
          </w:p>
        </w:tc>
        <w:tc>
          <w:tcPr>
            <w:tcW w:w="420" w:type="dxa"/>
            <w:vAlign w:val="bottom"/>
            <w:gridSpan w:val="2"/>
          </w:tcPr>
          <w:p>
            <w:pPr>
              <w:jc w:val="right"/>
              <w:ind w:right="220"/>
              <w:spacing w:after="0" w:line="94" w:lineRule="exact"/>
              <w:rPr>
                <w:sz w:val="20"/>
                <w:szCs w:val="20"/>
                <w:color w:val="auto"/>
              </w:rPr>
            </w:pPr>
            <w:r>
              <w:rPr>
                <w:rFonts w:ascii="Times New Roman" w:cs="Times New Roman" w:eastAsia="Times New Roman" w:hAnsi="Times New Roman"/>
                <w:sz w:val="10"/>
                <w:szCs w:val="10"/>
                <w:b w:val="1"/>
                <w:bCs w:val="1"/>
                <w:color w:val="auto"/>
              </w:rPr>
              <w:t>Intl</w:t>
            </w:r>
          </w:p>
        </w:tc>
        <w:tc>
          <w:tcPr>
            <w:tcW w:w="360" w:type="dxa"/>
            <w:vAlign w:val="bottom"/>
            <w:gridSpan w:val="2"/>
          </w:tcPr>
          <w:p>
            <w:pPr>
              <w:jc w:val="right"/>
              <w:ind w:right="140"/>
              <w:spacing w:after="0" w:line="94" w:lineRule="exact"/>
              <w:rPr>
                <w:sz w:val="20"/>
                <w:szCs w:val="20"/>
                <w:color w:val="auto"/>
              </w:rPr>
            </w:pPr>
            <w:r>
              <w:rPr>
                <w:rFonts w:ascii="Times New Roman" w:cs="Times New Roman" w:eastAsia="Times New Roman" w:hAnsi="Times New Roman"/>
                <w:sz w:val="10"/>
                <w:szCs w:val="10"/>
                <w:b w:val="1"/>
                <w:bCs w:val="1"/>
                <w:color w:val="auto"/>
                <w:w w:val="89"/>
              </w:rPr>
              <w:t>Corp</w:t>
            </w:r>
          </w:p>
        </w:tc>
        <w:tc>
          <w:tcPr>
            <w:tcW w:w="260" w:type="dxa"/>
            <w:vAlign w:val="bottom"/>
          </w:tcPr>
          <w:p>
            <w:pPr>
              <w:jc w:val="right"/>
              <w:spacing w:after="0" w:line="94" w:lineRule="exact"/>
              <w:rPr>
                <w:sz w:val="20"/>
                <w:szCs w:val="20"/>
                <w:color w:val="auto"/>
              </w:rPr>
            </w:pPr>
            <w:r>
              <w:rPr>
                <w:rFonts w:ascii="Times New Roman" w:cs="Times New Roman" w:eastAsia="Times New Roman" w:hAnsi="Times New Roman"/>
                <w:sz w:val="10"/>
                <w:szCs w:val="10"/>
                <w:b w:val="1"/>
                <w:bCs w:val="1"/>
                <w:color w:val="auto"/>
                <w:w w:val="87"/>
              </w:rPr>
              <w:t>Total</w:t>
            </w:r>
          </w:p>
        </w:tc>
        <w:tc>
          <w:tcPr>
            <w:tcW w:w="80" w:type="dxa"/>
            <w:vAlign w:val="bottom"/>
          </w:tcPr>
          <w:p>
            <w:pPr>
              <w:spacing w:after="0"/>
              <w:rPr>
                <w:sz w:val="8"/>
                <w:szCs w:val="8"/>
                <w:color w:val="auto"/>
              </w:rPr>
            </w:pPr>
          </w:p>
        </w:tc>
      </w:tr>
      <w:tr>
        <w:trPr>
          <w:trHeight w:val="141"/>
        </w:trPr>
        <w:tc>
          <w:tcPr>
            <w:tcW w:w="47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Depreciation and Amortization</w:t>
            </w:r>
          </w:p>
        </w:tc>
        <w:tc>
          <w:tcPr>
            <w:tcW w:w="2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55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337</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13</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405</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375</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9</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b w:val="1"/>
                <w:bCs w:val="1"/>
                <w:color w:val="auto"/>
              </w:rPr>
              <w:t>419</w:t>
            </w: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Less: Amortization of acquired intangibles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(197)</w:t>
            </w:r>
          </w:p>
        </w:tc>
        <w:tc>
          <w:tcPr>
            <w:tcW w:w="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81"/>
              </w:rPr>
              <w:t>— </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9"/>
              </w:rPr>
              <w:t>(222)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(231)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2"/>
              </w:rPr>
              <w:t>— </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9"/>
              </w:rPr>
              <w:t>(235)</w:t>
            </w:r>
          </w:p>
        </w:tc>
      </w:tr>
      <w:tr>
        <w:trPr>
          <w:trHeight w:val="20"/>
        </w:trPr>
        <w:tc>
          <w:tcPr>
            <w:tcW w:w="4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7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2"/>
                <w:szCs w:val="12"/>
                <w:b w:val="1"/>
                <w:bCs w:val="1"/>
                <w:color w:val="auto"/>
              </w:rPr>
              <w:t>Adjusted depreciation and amortization</w:t>
            </w:r>
            <w:r>
              <w:rPr>
                <w:rFonts w:ascii="Times New Roman" w:cs="Times New Roman" w:eastAsia="Times New Roman" w:hAnsi="Times New Roman"/>
                <w:sz w:val="17"/>
                <w:szCs w:val="17"/>
                <w:b w:val="1"/>
                <w:bCs w:val="1"/>
                <w:color w:val="auto"/>
                <w:vertAlign w:val="superscript"/>
              </w:rPr>
              <w:t>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14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w:t>
            </w:r>
          </w:p>
        </w:tc>
        <w:tc>
          <w:tcPr>
            <w:tcW w:w="6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144</w:t>
            </w:r>
          </w:p>
        </w:tc>
        <w:tc>
          <w:tcPr>
            <w:tcW w:w="3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9</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184</w:t>
            </w:r>
          </w:p>
        </w:tc>
      </w:tr>
      <w:tr>
        <w:trPr>
          <w:trHeight w:val="28"/>
        </w:trPr>
        <w:tc>
          <w:tcPr>
            <w:tcW w:w="4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7" w:lineRule="exact"/>
        <w:rPr>
          <w:sz w:val="20"/>
          <w:szCs w:val="20"/>
          <w:color w:val="auto"/>
        </w:rPr>
      </w:pPr>
    </w:p>
    <w:p>
      <w:pPr>
        <w:ind w:left="4440" w:right="1459" w:hanging="3803"/>
        <w:spacing w:after="0" w:line="435" w:lineRule="auto"/>
        <w:tabs>
          <w:tab w:leader="none" w:pos="9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depreciation and amortization is defined as depreciation and amortization excluding amortization of acquired intangibles. 28</w:t>
      </w:r>
    </w:p>
    <w:p>
      <w:pPr>
        <w:sectPr>
          <w:pgSz w:w="11900" w:h="16838" w:orient="portrait"/>
          <w:cols w:equalWidth="0" w:num="1">
            <w:col w:w="9019"/>
          </w:cols>
          <w:pgMar w:left="1440" w:top="231" w:right="1440" w:bottom="1440" w:gutter="0" w:footer="0" w:header="0"/>
        </w:sectPr>
      </w:pPr>
    </w:p>
    <w:bookmarkStart w:id="32" w:name="page33"/>
    <w:bookmarkEnd w:id="32"/>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435" w:lineRule="auto"/>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bullet"/>
      <w:start w:val="1"/>
    </w:lvl>
  </w:abstractNum>
  <w:abstractNum w:abstractNumId="9">
    <w:nsid w:val="431BD7B7"/>
    <w:multiLevelType w:val="hybridMultilevel"/>
    <w:lvl w:ilvl="0">
      <w:lvlJc w:val="left"/>
      <w:lvlText w:val="2"/>
      <w:numFmt w:val="bullet"/>
      <w:start w:val="1"/>
    </w:lvl>
    <w:lvl w:ilvl="1">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4"/>
      <w:numFmt w:val="bullet"/>
      <w:start w:val="1"/>
    </w:lvl>
  </w:abstractNum>
  <w:abstractNum w:abstractNumId="12">
    <w:nsid w:val="257130A3"/>
    <w:multiLevelType w:val="hybridMultilevel"/>
    <w:lvl w:ilvl="0">
      <w:lvlJc w:val="left"/>
      <w:lvlText w:val="5"/>
      <w:numFmt w:val="bullet"/>
      <w:start w:val="1"/>
    </w:lvl>
  </w:abstractNum>
  <w:abstractNum w:abstractNumId="13">
    <w:nsid w:val="62BBD95A"/>
    <w:multiLevelType w:val="hybridMultilevel"/>
    <w:lvl w:ilvl="0">
      <w:lvlJc w:val="left"/>
      <w:lvlText w:val="6"/>
      <w:numFmt w:val="bullet"/>
      <w:start w:val="1"/>
    </w:lvl>
  </w:abstractNum>
  <w:abstractNum w:abstractNumId="14">
    <w:nsid w:val="436C6125"/>
    <w:multiLevelType w:val="hybridMultilevel"/>
    <w:lvl w:ilvl="0">
      <w:lvlJc w:val="left"/>
      <w:lvlText w:val="7"/>
      <w:numFmt w:val="bullet"/>
      <w:start w:val="1"/>
    </w:lvl>
  </w:abstractNum>
  <w:abstractNum w:abstractNumId="15">
    <w:nsid w:val="628C895D"/>
    <w:multiLevelType w:val="hybridMultilevel"/>
    <w:lvl w:ilvl="0">
      <w:lvlJc w:val="left"/>
      <w:lvlText w:val="%1"/>
      <w:numFmt w:val="decimal"/>
      <w:start w:val="10"/>
    </w:lvl>
  </w:abstractNum>
  <w:abstractNum w:abstractNumId="16">
    <w:nsid w:val="333AB105"/>
    <w:multiLevelType w:val="hybridMultilevel"/>
    <w:lvl w:ilvl="0">
      <w:lvlJc w:val="left"/>
      <w:lvlText w:val="%1"/>
      <w:numFmt w:val="decimal"/>
      <w:start w:val="15"/>
    </w:lvl>
  </w:abstractNum>
  <w:abstractNum w:abstractNumId="17">
    <w:nsid w:val="721DA317"/>
    <w:multiLevelType w:val="hybridMultilevel"/>
    <w:lvl w:ilvl="0">
      <w:lvlJc w:val="left"/>
      <w:lvlText w:val="(%1)"/>
      <w:numFmt w:val="lowerRoman"/>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2026-11-04T05:56:48Z</dcterms:created>
  <dcterms:modified xsi:type="dcterms:W3CDTF">2026-11-04T05:56:48Z</dcterms:modified>
</cp:coreProperties>
</file>