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DART KENNETH BRYAN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31300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Flutter Entertainment plc</w:t>
              </w:r>
            </w:hyperlink>
            <w:r>
              <w:rPr/>
              <w:t xml:space="preserve"> [ </w:t>
            </w:r>
            <w:r>
              <w:rPr>
                <w:rFonts w:ascii="Times;serif" w:hAnsi="Times;serif"/>
                <w:color w:val="0000FF"/>
                <w:sz w:val="24"/>
                <w:shd w:fill="FFFFFF" w:val="clear"/>
              </w:rPr>
              <w:t>FLUT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2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16"/>
        <w:gridCol w:w="1131"/>
        <w:gridCol w:w="831"/>
        <w:gridCol w:w="906"/>
      </w:tblGrid>
      <w:tr>
        <w:trPr>
          <w:tblHeader w:val="true"/>
        </w:trPr>
        <w:tc>
          <w:tcPr>
            <w:tcW w:w="125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Total Return Swap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94.8515</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21,710,084</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reference price for the Swap is $94.8515 per share. The Swap is scheduled to terminate on March 2, 2028, at which time the Swap will be cash-settled. Under the terms of the Swap, at maturity:(i) 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OBFR. Additionally, the Reporting Person is entitled to receive payments from the counterparty equal to any dividends paid on the referenced shares during the term of the Swap.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Lake Michigan Limited is the party to the reported transaction and direct "holder" of the "notional" shares. Lake Michigan Limited and LBS Limited were parties to previously reported swap transactions that provide an aggregate position in 21,560,084 "notional" shares. As owner of LBS Limited and Lake Michigan Limited, Mr. Dart may be deemed to beneficially own the reported securities but disclaims such beneficial ownership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/s/Kenneth B Dart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1271" TargetMode="External"/><Relationship Id="rId5" Type="http://schemas.openxmlformats.org/officeDocument/2006/relationships/hyperlink" Target="http://www.sec.gov/cgi-bin/browse-edgar?action=getcompany&amp;CIK=0001635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784</Words>
  <Characters>4215</Characters>
  <CharactersWithSpaces>4928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