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DART KENNETH BRYAN</w:t>
              </w:r>
            </w:hyperlink>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8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03/30/2026</w:t>
            </w:r>
          </w:p>
        </w:tc>
        <w:tc>
          <w:tcPr>
            <w:tcW w:w="1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P. O. BOX 31300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87"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3"/>
          <w:szCs w:val="23"/>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29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295,794</w:t>
            </w:r>
          </w:p>
        </w:tc>
        <w:tc>
          <w:tcPr>
            <w:tcW w:w="68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8,046,860</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Return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03/30/2026</w:t>
            </w:r>
          </w:p>
        </w:tc>
        <w:tc>
          <w:tcPr>
            <w:tcW w:w="1080" w:type="dxa"/>
            <w:vAlign w:val="bottom"/>
          </w:tcPr>
          <w:p>
            <w:pPr>
              <w:spacing w:after="0"/>
              <w:rPr>
                <w:sz w:val="12"/>
                <w:szCs w:val="12"/>
                <w:color w:val="auto"/>
              </w:rPr>
            </w:pPr>
          </w:p>
        </w:tc>
        <w:tc>
          <w:tcPr>
            <w:tcW w:w="7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P/K</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295,794</w:t>
            </w:r>
          </w:p>
        </w:tc>
        <w:tc>
          <w:tcPr>
            <w:tcW w:w="22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99.7613</w:t>
            </w:r>
          </w:p>
        </w:tc>
        <w:tc>
          <w:tcPr>
            <w:tcW w:w="920" w:type="dxa"/>
            <w:vAlign w:val="bottom"/>
            <w:vMerge w:val="continue"/>
          </w:tcPr>
          <w:p>
            <w:pPr>
              <w:spacing w:after="0"/>
              <w:rPr>
                <w:sz w:val="12"/>
                <w:szCs w:val="12"/>
                <w:color w:val="auto"/>
              </w:rPr>
            </w:pPr>
          </w:p>
        </w:tc>
        <w:tc>
          <w:tcPr>
            <w:tcW w:w="72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480" w:type="dxa"/>
            <w:vAlign w:val="bottom"/>
            <w:vMerge w:val="continue"/>
          </w:tcPr>
          <w:p>
            <w:pPr>
              <w:spacing w:after="0"/>
              <w:rPr>
                <w:sz w:val="12"/>
                <w:szCs w:val="12"/>
                <w:color w:val="auto"/>
              </w:rPr>
            </w:pP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008000"/>
                <w:w w:val="93"/>
              </w:rPr>
              <w:t>(2)</w:t>
            </w: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w w:val="92"/>
              </w:rPr>
              <w:t>footnote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reference price for the Swap is $99.7613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p>
      <w:pPr>
        <w:spacing w:after="0" w:line="14" w:lineRule="exact"/>
        <w:rPr>
          <w:rFonts w:ascii="Times New Roman" w:cs="Times New Roman" w:eastAsia="Times New Roman" w:hAnsi="Times New Roman"/>
          <w:sz w:val="12"/>
          <w:szCs w:val="12"/>
          <w:color w:val="008000"/>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Lake Michigan Limited is the party to the reported transaction and direct "holder" of the "notional" shares. LBS Limited is a party to previously reported swap transactions that provide an aggregate position in 7,453,418 "notional" shares. As owner of Lake Michigan Limited and LBS Limited, Mr. Dart may be deemed to beneficially own the reported securities but disclaims such beneficial ownership except to the extent of his pecuniary interest therein.</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/s/Kenneth B Dart</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04/01/2026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2026-04-01T15:28:29Z</dcterms:created>
  <dcterms:modified xsi:type="dcterms:W3CDTF">2026-04-01T15:28:29Z</dcterms:modified>
</cp:coreProperties>
</file>