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Flutter Entertainment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001-37403</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98-1782229</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One Madison Avenue</w:t>
            </w:r>
          </w:p>
        </w:tc>
        <w:tc>
          <w:tcPr>
            <w:tcW w:w="24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9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9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+353 (1) 264 1566</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of €0.09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FLUT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spacing w:after="0" w:line="258" w:lineRule="auto"/>
        <w:rPr>
          <w:sz w:val="20"/>
          <w:szCs w:val="20"/>
          <w:color w:val="auto"/>
        </w:rPr>
      </w:pPr>
      <w:r>
        <w:rPr>
          <w:rFonts w:ascii="Times New Roman" w:cs="Times New Roman" w:eastAsia="Times New Roman" w:hAnsi="Times New Roman"/>
          <w:sz w:val="18"/>
          <w:szCs w:val="18"/>
          <w:color w:val="auto"/>
        </w:rPr>
        <w:t>On June 5, 2025, Flutter Entertainment plc (the “Company”) held its 2025 Annual General Meeting (the “Annual General Meeting”) of Shareholders. At the Annual General Meeting, the Company’s shareholders approved the Company’s Amended and Restated 2024 Omnibus Equity Incentive Plan (the “Amended Omnibus Plan”), the Company’s 2025 Employee Share Purchase Plan (the “2025 ESPP”) and the Company’s Sharesave Scheme, as amended and restated (the “Amended Sharesave Scheme”). The Amended Omnibus Plan, the 2025 ESPP and the Amended Sharesave Scheme were previously approved by the Company’s Board of Directors (the “Board”) on April 9, 2025, subject to shareholder approval.</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Amended Omnibus Plan increases the aggregate number of ordinary shares (“Shares”) that can be issued under the Flutter Entertainment plc 2024 Omnibus Equity Incentive Plan (the “Original Omnibus Plan”) from 1,770,000 to 8,520,000. Additionally, the Amended Omnibus Plan clarifies that all equity awards are subject to a minimum one-year vesting period, with limited exceptions, and removes certain share recycling provisions. The other terms of the Amended Omnibus Plan remain substantively the same as the Original Omnibus Plan.</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2025 ESPP consists of two components: a component intended to qualify as an “employee stock purchase plan” under Section 423 of the Internal Revenue Code of 1986, as amended (the “Code”) so that awards granted to U.S. taxpayers are treated as tax-qualified awards under the Code, and a component that is not intended to qualify. The maximum aggregate number of Shares that may be issued pursuant to the 2025 ESPP is equal to 3,000,000 Shares.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Amended Sharesave Scheme remains substantively the same as the Flutter Entertainment plc Sharesave Scheme, except for the following changes: reduction in the maximum level of discount represented by the option exercise price against the market value of Shares (from twenty-five percent (25%) to twenty percent (20%)), and replacement of the U.K.-style dilution limit with a fixed number of 3,000,000 Shares being available under the plan (including any sub-plans).</w:t>
      </w:r>
    </w:p>
    <w:p>
      <w:pPr>
        <w:spacing w:after="0" w:line="180" w:lineRule="exact"/>
        <w:rPr>
          <w:sz w:val="20"/>
          <w:szCs w:val="20"/>
          <w:color w:val="auto"/>
        </w:rPr>
      </w:pPr>
    </w:p>
    <w:p>
      <w:pPr>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material terms of the Amended Omnibus Plan, the Amended Omnibus Plan, the 2025 ESPP and the Amended Sharesave Scheme are described in </w:t>
      </w:r>
      <w:hyperlink r:id="rId18">
        <w:r>
          <w:rPr>
            <w:rFonts w:ascii="Times New Roman" w:cs="Times New Roman" w:eastAsia="Times New Roman" w:hAnsi="Times New Roman"/>
            <w:sz w:val="18"/>
            <w:szCs w:val="18"/>
            <w:color w:val="auto"/>
          </w:rPr>
          <w:t>the Company’s definitive Proxy Statement, dated April 24, 2025 (the “2025 Proxy Statement”), under the heading “</w:t>
        </w:r>
        <w:r>
          <w:rPr>
            <w:rFonts w:ascii="Times New Roman" w:cs="Times New Roman" w:eastAsia="Times New Roman" w:hAnsi="Times New Roman"/>
            <w:sz w:val="18"/>
            <w:szCs w:val="18"/>
            <w:u w:val="single" w:color="auto"/>
            <w:color w:val="0000EE"/>
          </w:rPr>
          <w:t>Proposal 4 — Approval of the</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Flutter Entertainment plc Amended and Restated 2024 Omnibus Equity Incentive Plan</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EE"/>
          </w:rPr>
          <w:t>Proposal 5 — Approval of the Flutter Entertainment plc 2025</w:t>
        </w:r>
      </w:hyperlink>
      <w:r>
        <w:rPr>
          <w:rFonts w:ascii="Times New Roman" w:cs="Times New Roman" w:eastAsia="Times New Roman" w:hAnsi="Times New Roman"/>
          <w:sz w:val="18"/>
          <w:szCs w:val="18"/>
          <w:color w:val="0000EE"/>
        </w:rPr>
        <w:t xml:space="preserve"> </w:t>
      </w:r>
      <w:hyperlink r:id="rId19">
        <w:r>
          <w:rPr>
            <w:rFonts w:ascii="Times New Roman" w:cs="Times New Roman" w:eastAsia="Times New Roman" w:hAnsi="Times New Roman"/>
            <w:sz w:val="18"/>
            <w:szCs w:val="18"/>
            <w:u w:val="single" w:color="auto"/>
            <w:color w:val="0000EE"/>
          </w:rPr>
          <w:t>Employee Share Purchase Plan</w:t>
        </w:r>
        <w:r>
          <w:rPr>
            <w:rFonts w:ascii="Times New Roman" w:cs="Times New Roman" w:eastAsia="Times New Roman" w:hAnsi="Times New Roman"/>
            <w:sz w:val="18"/>
            <w:szCs w:val="18"/>
            <w:color w:val="000000"/>
          </w:rPr>
          <w:t>,” and “</w:t>
        </w:r>
      </w:hyperlink>
      <w:hyperlink r:id="rId20">
        <w:r>
          <w:rPr>
            <w:rFonts w:ascii="Times New Roman" w:cs="Times New Roman" w:eastAsia="Times New Roman" w:hAnsi="Times New Roman"/>
            <w:sz w:val="18"/>
            <w:szCs w:val="18"/>
            <w:u w:val="single" w:color="auto"/>
            <w:color w:val="0000EE"/>
          </w:rPr>
          <w:t>Proposal 6 — Approval of the Flutter Entertainment plc Sharesave Scheme (as amended and restated)</w:t>
        </w:r>
      </w:hyperlink>
      <w:hyperlink r:id="rId19">
        <w:r>
          <w:rPr>
            <w:rFonts w:ascii="Times New Roman" w:cs="Times New Roman" w:eastAsia="Times New Roman" w:hAnsi="Times New Roman"/>
            <w:sz w:val="18"/>
            <w:szCs w:val="18"/>
            <w:color w:val="000000"/>
          </w:rPr>
          <w:t>”, which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descriptions are incorporated herein by reference. The descriptions of the Amended Omnibus Plan, the 2025 ESPP and the Amended Sharesave Scheme contained herein and in the 2025 Proxy Statement do not purport to be complete and are qualified in their entirety by reference to the Amended Omnibus Plan, the 2025 ESPP and the Amended Sharesave Scheme, copies of which are filed respectively hereto as Exhibits 10.1, 10.2 and 10.3 and are incorporated by reference herein.</w:t>
      </w:r>
    </w:p>
    <w:p>
      <w:pPr>
        <w:spacing w:after="0" w:line="336" w:lineRule="exact"/>
        <w:rPr>
          <w:rFonts w:ascii="Times New Roman" w:cs="Times New Roman" w:eastAsia="Times New Roman" w:hAnsi="Times New Roman"/>
          <w:sz w:val="18"/>
          <w:szCs w:val="18"/>
          <w:color w:val="0000EE"/>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rFonts w:ascii="Times New Roman" w:cs="Times New Roman" w:eastAsia="Times New Roman" w:hAnsi="Times New Roman"/>
          <w:sz w:val="18"/>
          <w:szCs w:val="18"/>
          <w:color w:val="0000EE"/>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Annual General Meeting, the Company’s shareholders considered eleven proposals as more fully described in the 2025 Proxy Statement. Each of proposals 1 – 2 and 4 – 11 was adopted, and a majority of votes cast were voted in favor of holding future advisory votes on executive compensation annually with respect to proposal 3. The number of votes by the Company’s shareholders for and against each of the proposals put before the Annual General Meeting, as well as the number of abstentions and broker non-votes, were as follows (proposal numbers correspond to the proposal numbers used in the 2025 Proxy Statement):</w:t>
      </w:r>
    </w:p>
    <w:p>
      <w:pPr>
        <w:sectPr>
          <w:pgSz w:w="11900" w:h="16838" w:orient="portrait"/>
          <w:cols w:equalWidth="0" w:num="1">
            <w:col w:w="11000"/>
          </w:cols>
          <w:pgMar w:left="440" w:top="293" w:right="459" w:bottom="1440" w:gutter="0" w:footer="0" w:header="0"/>
          <w:type w:val="continuous"/>
        </w:sectPr>
      </w:pPr>
    </w:p>
    <w:bookmarkStart w:id="2" w:name="page3"/>
    <w:bookmarkEnd w:id="2"/>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1: By separate resolutions, to elect / re-elect as appropriate the Director nominees listed below for a term expiring at the next Annual General Meeting of the Company:</w:t>
      </w:r>
    </w:p>
    <w:p>
      <w:pPr>
        <w:spacing w:after="0" w:line="181"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Votes For</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Votes Against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8"/>
              </w:rPr>
              <w:t>Abstentions</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Bryant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124,923,670</w:t>
            </w: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6,527,171</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10,283,264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Robert (Dob) Bennett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131,360,302</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88,006</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17,919</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10,283,264</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Cruickshank</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131,363,006</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85,595</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17,626</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10,283,264</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Nancy Dubuc</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131,294,145</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154,596</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17,486</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10,283,264</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Alfred F. Hurley, Jr.</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129,422,786</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2,025,273</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18,168</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10,283,264</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Peter Jackson</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131,372,555</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80,630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13,042</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10,283,264</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Holly Keller Koeppel</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127,166,541</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4,278,542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21,144</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10,283,264</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Carolan Lennon</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130,763,271</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686,383</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16,573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10,283,264</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M. McCarthy</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131,289,107</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159,302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17,818</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10,283,264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To approve, on an advisory basis, the compensation of our Named Executive Officers: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2740" w:type="dxa"/>
            <w:vAlign w:val="bottom"/>
            <w:gridSpan w:val="2"/>
          </w:tcPr>
          <w:p>
            <w:pPr>
              <w:jc w:val="center"/>
              <w:ind w:right="2180"/>
              <w:spacing w:after="0"/>
              <w:rPr>
                <w:sz w:val="20"/>
                <w:szCs w:val="20"/>
                <w:color w:val="auto"/>
              </w:rPr>
            </w:pPr>
            <w:r>
              <w:rPr>
                <w:rFonts w:ascii="Times New Roman" w:cs="Times New Roman" w:eastAsia="Times New Roman" w:hAnsi="Times New Roman"/>
                <w:sz w:val="14"/>
                <w:szCs w:val="14"/>
                <w:color w:val="auto"/>
              </w:rPr>
              <w:t>Votes For</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Votes Against</w:t>
            </w:r>
          </w:p>
        </w:tc>
        <w:tc>
          <w:tcPr>
            <w:tcW w:w="13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Abstentions</w:t>
            </w:r>
          </w:p>
        </w:tc>
        <w:tc>
          <w:tcPr>
            <w:tcW w:w="13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09"/>
        </w:trPr>
        <w:tc>
          <w:tcPr>
            <w:tcW w:w="3600" w:type="dxa"/>
            <w:vAlign w:val="bottom"/>
            <w:gridSpan w:val="3"/>
            <w:shd w:val="clear" w:color="auto" w:fill="CCEEFF"/>
          </w:tcPr>
          <w:p>
            <w:pPr>
              <w:jc w:val="right"/>
              <w:ind w:right="2020"/>
              <w:spacing w:after="0"/>
              <w:rPr>
                <w:sz w:val="20"/>
                <w:szCs w:val="20"/>
                <w:color w:val="auto"/>
              </w:rPr>
            </w:pPr>
            <w:r>
              <w:rPr>
                <w:rFonts w:ascii="Times New Roman" w:cs="Times New Roman" w:eastAsia="Times New Roman" w:hAnsi="Times New Roman"/>
                <w:sz w:val="18"/>
                <w:szCs w:val="18"/>
                <w:color w:val="auto"/>
              </w:rPr>
              <w:t>128,821,453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2,519,077</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125,697</w:t>
            </w:r>
          </w:p>
        </w:tc>
        <w:tc>
          <w:tcPr>
            <w:tcW w:w="23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10,283,264</w:t>
            </w:r>
          </w:p>
        </w:tc>
      </w:tr>
    </w:tbl>
    <w:p>
      <w:pPr>
        <w:spacing w:after="0" w:line="19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Proposal 3. To approve, on an advisory basis, the frequency of future advisory votes to approve the compensation of our Named Executive Officers:</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282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color w:val="auto"/>
                <w:w w:val="99"/>
              </w:rPr>
              <w:t>One Year</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Two Years</w:t>
            </w:r>
          </w:p>
        </w:tc>
        <w:tc>
          <w:tcPr>
            <w:tcW w:w="9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Three Years</w:t>
            </w:r>
          </w:p>
        </w:tc>
        <w:tc>
          <w:tcPr>
            <w:tcW w:w="2680" w:type="dxa"/>
            <w:vAlign w:val="bottom"/>
            <w:gridSpan w:val="3"/>
          </w:tcPr>
          <w:p>
            <w:pPr>
              <w:ind w:left="1000"/>
              <w:spacing w:after="0"/>
              <w:rPr>
                <w:sz w:val="20"/>
                <w:szCs w:val="20"/>
                <w:color w:val="auto"/>
              </w:rPr>
            </w:pPr>
            <w:r>
              <w:rPr>
                <w:rFonts w:ascii="Times New Roman" w:cs="Times New Roman" w:eastAsia="Times New Roman" w:hAnsi="Times New Roman"/>
                <w:sz w:val="14"/>
                <w:szCs w:val="14"/>
                <w:color w:val="auto"/>
              </w:rPr>
              <w:t>Abstentions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09"/>
        </w:trPr>
        <w:tc>
          <w:tcPr>
            <w:tcW w:w="2820" w:type="dxa"/>
            <w:vAlign w:val="bottom"/>
            <w:gridSpan w:val="3"/>
            <w:shd w:val="clear" w:color="auto" w:fill="CCEEFF"/>
          </w:tcPr>
          <w:p>
            <w:pPr>
              <w:jc w:val="right"/>
              <w:ind w:right="1440"/>
              <w:spacing w:after="0"/>
              <w:rPr>
                <w:sz w:val="20"/>
                <w:szCs w:val="20"/>
                <w:color w:val="auto"/>
              </w:rPr>
            </w:pPr>
            <w:r>
              <w:rPr>
                <w:rFonts w:ascii="Times New Roman" w:cs="Times New Roman" w:eastAsia="Times New Roman" w:hAnsi="Times New Roman"/>
                <w:sz w:val="18"/>
                <w:szCs w:val="18"/>
                <w:color w:val="auto"/>
              </w:rPr>
              <w:t>126,965,453</w:t>
            </w: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7,657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463,333</w:t>
            </w:r>
          </w:p>
        </w:tc>
        <w:tc>
          <w:tcPr>
            <w:tcW w:w="26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4,029,784</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10,283,264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To approve the Flutter Entertainment plc Amended and Restated 2024 Omnibus Equity Incentive Plan:</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2740" w:type="dxa"/>
            <w:vAlign w:val="bottom"/>
            <w:gridSpan w:val="2"/>
          </w:tcPr>
          <w:p>
            <w:pPr>
              <w:jc w:val="center"/>
              <w:ind w:right="2180"/>
              <w:spacing w:after="0"/>
              <w:rPr>
                <w:sz w:val="20"/>
                <w:szCs w:val="20"/>
                <w:color w:val="auto"/>
              </w:rPr>
            </w:pPr>
            <w:r>
              <w:rPr>
                <w:rFonts w:ascii="Times New Roman" w:cs="Times New Roman" w:eastAsia="Times New Roman" w:hAnsi="Times New Roman"/>
                <w:sz w:val="14"/>
                <w:szCs w:val="14"/>
                <w:color w:val="auto"/>
              </w:rPr>
              <w:t>Votes For</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Votes Against</w:t>
            </w:r>
          </w:p>
        </w:tc>
        <w:tc>
          <w:tcPr>
            <w:tcW w:w="13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Abstentions</w:t>
            </w:r>
          </w:p>
        </w:tc>
        <w:tc>
          <w:tcPr>
            <w:tcW w:w="13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3600" w:type="dxa"/>
            <w:vAlign w:val="bottom"/>
            <w:gridSpan w:val="3"/>
            <w:shd w:val="clear" w:color="auto" w:fill="CCEEFF"/>
          </w:tcPr>
          <w:p>
            <w:pPr>
              <w:jc w:val="right"/>
              <w:ind w:right="2020"/>
              <w:spacing w:after="0"/>
              <w:rPr>
                <w:sz w:val="20"/>
                <w:szCs w:val="20"/>
                <w:color w:val="auto"/>
              </w:rPr>
            </w:pPr>
            <w:r>
              <w:rPr>
                <w:rFonts w:ascii="Times New Roman" w:cs="Times New Roman" w:eastAsia="Times New Roman" w:hAnsi="Times New Roman"/>
                <w:sz w:val="18"/>
                <w:szCs w:val="18"/>
                <w:color w:val="auto"/>
              </w:rPr>
              <w:t>126,683,628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4,632,583</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150,016</w:t>
            </w:r>
          </w:p>
        </w:tc>
        <w:tc>
          <w:tcPr>
            <w:tcW w:w="23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10,283,264</w:t>
            </w:r>
          </w:p>
        </w:tc>
      </w:tr>
    </w:tbl>
    <w:p>
      <w:pPr>
        <w:sectPr>
          <w:pgSz w:w="11900" w:h="16838" w:orient="portrait"/>
          <w:cols w:equalWidth="0" w:num="1">
            <w:col w:w="10880"/>
          </w:cols>
          <w:pgMar w:left="440" w:top="293" w:right="5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5. To approve the Flutter Entertainment plc 2025 Employee Share Purchase Plan:</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356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color w:val="auto"/>
                <w:w w:val="97"/>
              </w:rPr>
              <w:t>Votes For</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Against</w:t>
            </w:r>
          </w:p>
        </w:tc>
        <w:tc>
          <w:tcPr>
            <w:tcW w:w="1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Abstentions</w:t>
            </w:r>
          </w:p>
        </w:tc>
        <w:tc>
          <w:tcPr>
            <w:tcW w:w="13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09"/>
        </w:trPr>
        <w:tc>
          <w:tcPr>
            <w:tcW w:w="3560" w:type="dxa"/>
            <w:vAlign w:val="bottom"/>
            <w:gridSpan w:val="3"/>
            <w:shd w:val="clear" w:color="auto" w:fill="CCEEFF"/>
          </w:tcPr>
          <w:p>
            <w:pPr>
              <w:jc w:val="right"/>
              <w:ind w:right="2000"/>
              <w:spacing w:after="0"/>
              <w:rPr>
                <w:sz w:val="20"/>
                <w:szCs w:val="20"/>
                <w:color w:val="auto"/>
              </w:rPr>
            </w:pPr>
            <w:r>
              <w:rPr>
                <w:rFonts w:ascii="Times New Roman" w:cs="Times New Roman" w:eastAsia="Times New Roman" w:hAnsi="Times New Roman"/>
                <w:sz w:val="18"/>
                <w:szCs w:val="18"/>
                <w:color w:val="auto"/>
              </w:rPr>
              <w:t>131,431,640</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22,687</w:t>
            </w:r>
          </w:p>
        </w:tc>
        <w:tc>
          <w:tcPr>
            <w:tcW w:w="2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11,900</w:t>
            </w:r>
          </w:p>
        </w:tc>
        <w:tc>
          <w:tcPr>
            <w:tcW w:w="24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10,283,264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6. To approve of the Flutter Entertainment plc Sharesave Scheme (as amended and restated):</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3520" w:type="dxa"/>
            <w:vAlign w:val="bottom"/>
            <w:gridSpan w:val="3"/>
          </w:tcPr>
          <w:p>
            <w:pPr>
              <w:jc w:val="center"/>
              <w:ind w:right="1360"/>
              <w:spacing w:after="0"/>
              <w:rPr>
                <w:sz w:val="20"/>
                <w:szCs w:val="20"/>
                <w:color w:val="auto"/>
              </w:rPr>
            </w:pPr>
            <w:r>
              <w:rPr>
                <w:rFonts w:ascii="Times New Roman" w:cs="Times New Roman" w:eastAsia="Times New Roman" w:hAnsi="Times New Roman"/>
                <w:sz w:val="14"/>
                <w:szCs w:val="14"/>
                <w:color w:val="auto"/>
              </w:rPr>
              <w:t>Votes For</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Against</w:t>
            </w:r>
          </w:p>
        </w:tc>
        <w:tc>
          <w:tcPr>
            <w:tcW w:w="13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Abstentions</w:t>
            </w:r>
          </w:p>
        </w:tc>
        <w:tc>
          <w:tcPr>
            <w:tcW w:w="13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3520" w:type="dxa"/>
            <w:vAlign w:val="bottom"/>
            <w:gridSpan w:val="3"/>
            <w:shd w:val="clear" w:color="auto" w:fill="CCEEFF"/>
          </w:tcPr>
          <w:p>
            <w:pPr>
              <w:jc w:val="right"/>
              <w:ind w:right="1980"/>
              <w:spacing w:after="0"/>
              <w:rPr>
                <w:sz w:val="20"/>
                <w:szCs w:val="20"/>
                <w:color w:val="auto"/>
              </w:rPr>
            </w:pPr>
            <w:r>
              <w:rPr>
                <w:rFonts w:ascii="Times New Roman" w:cs="Times New Roman" w:eastAsia="Times New Roman" w:hAnsi="Times New Roman"/>
                <w:sz w:val="18"/>
                <w:szCs w:val="18"/>
                <w:color w:val="auto"/>
              </w:rPr>
              <w:t>130,949,912</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494,879</w:t>
            </w:r>
          </w:p>
        </w:tc>
        <w:tc>
          <w:tcPr>
            <w:tcW w:w="2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21,436</w:t>
            </w:r>
          </w:p>
        </w:tc>
        <w:tc>
          <w:tcPr>
            <w:tcW w:w="24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10,283,264</w:t>
            </w:r>
          </w:p>
        </w:tc>
      </w:tr>
    </w:tbl>
    <w:p>
      <w:pPr>
        <w:spacing w:after="0" w:line="30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Proposal 7a. To ratify, in a non-binding vote, the appointment of KPMG as Independent Registered Public Accounting Firm and Auditors of the Company for the year ended December 31, 2025:</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346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color w:val="auto"/>
                <w:w w:val="97"/>
              </w:rPr>
              <w:t>Votes For</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Against</w:t>
            </w:r>
          </w:p>
        </w:tc>
        <w:tc>
          <w:tcPr>
            <w:tcW w:w="1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Abstentions</w:t>
            </w:r>
          </w:p>
        </w:tc>
        <w:tc>
          <w:tcPr>
            <w:tcW w:w="14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09"/>
        </w:trPr>
        <w:tc>
          <w:tcPr>
            <w:tcW w:w="3460" w:type="dxa"/>
            <w:vAlign w:val="bottom"/>
            <w:gridSpan w:val="3"/>
            <w:shd w:val="clear" w:color="auto" w:fill="CCEEFF"/>
          </w:tcPr>
          <w:p>
            <w:pPr>
              <w:jc w:val="right"/>
              <w:ind w:right="1980"/>
              <w:spacing w:after="0"/>
              <w:rPr>
                <w:sz w:val="20"/>
                <w:szCs w:val="20"/>
                <w:color w:val="auto"/>
              </w:rPr>
            </w:pPr>
            <w:r>
              <w:rPr>
                <w:rFonts w:ascii="Times New Roman" w:cs="Times New Roman" w:eastAsia="Times New Roman" w:hAnsi="Times New Roman"/>
                <w:sz w:val="18"/>
                <w:szCs w:val="18"/>
                <w:color w:val="auto"/>
              </w:rPr>
              <w:t>138,813,590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2,912,473</w:t>
            </w:r>
          </w:p>
        </w:tc>
        <w:tc>
          <w:tcPr>
            <w:tcW w:w="20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23,428</w:t>
            </w:r>
          </w:p>
        </w:tc>
        <w:tc>
          <w:tcPr>
            <w:tcW w:w="14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7b. To authorize, in a binding vote, the Board to fix the compensation of KPMG</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2700" w:type="dxa"/>
            <w:vAlign w:val="bottom"/>
            <w:gridSpan w:val="2"/>
          </w:tcPr>
          <w:p>
            <w:pPr>
              <w:jc w:val="center"/>
              <w:ind w:right="2160"/>
              <w:spacing w:after="0"/>
              <w:rPr>
                <w:sz w:val="20"/>
                <w:szCs w:val="20"/>
                <w:color w:val="auto"/>
              </w:rPr>
            </w:pPr>
            <w:r>
              <w:rPr>
                <w:rFonts w:ascii="Times New Roman" w:cs="Times New Roman" w:eastAsia="Times New Roman" w:hAnsi="Times New Roman"/>
                <w:sz w:val="14"/>
                <w:szCs w:val="14"/>
                <w:color w:val="auto"/>
                <w:w w:val="97"/>
              </w:rPr>
              <w:t>Votes For</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Against</w:t>
            </w:r>
          </w:p>
        </w:tc>
        <w:tc>
          <w:tcPr>
            <w:tcW w:w="1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Abstentions</w:t>
            </w:r>
          </w:p>
        </w:tc>
        <w:tc>
          <w:tcPr>
            <w:tcW w:w="1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3480" w:type="dxa"/>
            <w:vAlign w:val="bottom"/>
            <w:gridSpan w:val="3"/>
            <w:shd w:val="clear" w:color="auto" w:fill="CCEEFF"/>
          </w:tcPr>
          <w:p>
            <w:pPr>
              <w:jc w:val="right"/>
              <w:ind w:right="1980"/>
              <w:spacing w:after="0"/>
              <w:rPr>
                <w:sz w:val="20"/>
                <w:szCs w:val="20"/>
                <w:color w:val="auto"/>
              </w:rPr>
            </w:pPr>
            <w:r>
              <w:rPr>
                <w:rFonts w:ascii="Times New Roman" w:cs="Times New Roman" w:eastAsia="Times New Roman" w:hAnsi="Times New Roman"/>
                <w:sz w:val="18"/>
                <w:szCs w:val="18"/>
                <w:color w:val="auto"/>
              </w:rPr>
              <w:t>141,621,298</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105,255</w:t>
            </w:r>
          </w:p>
        </w:tc>
        <w:tc>
          <w:tcPr>
            <w:tcW w:w="2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22,938</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8. To renew the annual authority of the Board to issue Shares: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2700" w:type="dxa"/>
            <w:vAlign w:val="bottom"/>
            <w:gridSpan w:val="2"/>
          </w:tcPr>
          <w:p>
            <w:pPr>
              <w:jc w:val="center"/>
              <w:ind w:right="2160"/>
              <w:spacing w:after="0"/>
              <w:rPr>
                <w:sz w:val="20"/>
                <w:szCs w:val="20"/>
                <w:color w:val="auto"/>
              </w:rPr>
            </w:pPr>
            <w:r>
              <w:rPr>
                <w:rFonts w:ascii="Times New Roman" w:cs="Times New Roman" w:eastAsia="Times New Roman" w:hAnsi="Times New Roman"/>
                <w:sz w:val="14"/>
                <w:szCs w:val="14"/>
                <w:color w:val="auto"/>
                <w:w w:val="97"/>
              </w:rPr>
              <w:t>Votes For</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Against</w:t>
            </w:r>
          </w:p>
        </w:tc>
        <w:tc>
          <w:tcPr>
            <w:tcW w:w="1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Abstentions</w:t>
            </w:r>
          </w:p>
        </w:tc>
        <w:tc>
          <w:tcPr>
            <w:tcW w:w="1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09"/>
        </w:trPr>
        <w:tc>
          <w:tcPr>
            <w:tcW w:w="3480" w:type="dxa"/>
            <w:vAlign w:val="bottom"/>
            <w:gridSpan w:val="3"/>
            <w:shd w:val="clear" w:color="auto" w:fill="CCEEFF"/>
          </w:tcPr>
          <w:p>
            <w:pPr>
              <w:jc w:val="right"/>
              <w:ind w:right="1980"/>
              <w:spacing w:after="0"/>
              <w:rPr>
                <w:sz w:val="20"/>
                <w:szCs w:val="20"/>
                <w:color w:val="auto"/>
              </w:rPr>
            </w:pPr>
            <w:r>
              <w:rPr>
                <w:rFonts w:ascii="Times New Roman" w:cs="Times New Roman" w:eastAsia="Times New Roman" w:hAnsi="Times New Roman"/>
                <w:sz w:val="18"/>
                <w:szCs w:val="18"/>
                <w:color w:val="auto"/>
              </w:rPr>
              <w:t>141,021,758</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706,502</w:t>
            </w:r>
          </w:p>
        </w:tc>
        <w:tc>
          <w:tcPr>
            <w:tcW w:w="2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21,231</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9. To renew the annual authority of the Board to issue Shares for cash without first offering Shares to existing shareholders: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For</w:t>
            </w: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Votes Against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Abstentions</w:t>
            </w:r>
          </w:p>
        </w:tc>
        <w:tc>
          <w:tcPr>
            <w:tcW w:w="13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25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130,174,189</w:t>
            </w:r>
          </w:p>
        </w:tc>
        <w:tc>
          <w:tcPr>
            <w:tcW w:w="316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11,551,734</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23,568</w:t>
            </w: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ectPr>
          <w:pgSz w:w="11900" w:h="16838" w:orient="portrait"/>
          <w:cols w:equalWidth="0" w:num="1">
            <w:col w:w="10760"/>
          </w:cols>
          <w:pgMar w:left="440" w:top="293" w:right="6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10. To renew the annual authority of the Board to make market purchases of the Company’s Shares: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3520" w:type="dxa"/>
            <w:vAlign w:val="bottom"/>
            <w:gridSpan w:val="3"/>
          </w:tcPr>
          <w:p>
            <w:pPr>
              <w:jc w:val="center"/>
              <w:ind w:right="1360"/>
              <w:spacing w:after="0"/>
              <w:rPr>
                <w:sz w:val="20"/>
                <w:szCs w:val="20"/>
                <w:color w:val="auto"/>
              </w:rPr>
            </w:pPr>
            <w:r>
              <w:rPr>
                <w:rFonts w:ascii="Times New Roman" w:cs="Times New Roman" w:eastAsia="Times New Roman" w:hAnsi="Times New Roman"/>
                <w:sz w:val="14"/>
                <w:szCs w:val="14"/>
                <w:color w:val="auto"/>
              </w:rPr>
              <w:t>Votes For</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Against</w:t>
            </w:r>
          </w:p>
        </w:tc>
        <w:tc>
          <w:tcPr>
            <w:tcW w:w="13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Abstentions</w:t>
            </w:r>
          </w:p>
        </w:tc>
        <w:tc>
          <w:tcPr>
            <w:tcW w:w="13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09"/>
        </w:trPr>
        <w:tc>
          <w:tcPr>
            <w:tcW w:w="3520" w:type="dxa"/>
            <w:vAlign w:val="bottom"/>
            <w:gridSpan w:val="3"/>
            <w:shd w:val="clear" w:color="auto" w:fill="CCEEFF"/>
          </w:tcPr>
          <w:p>
            <w:pPr>
              <w:jc w:val="right"/>
              <w:ind w:right="1980"/>
              <w:spacing w:after="0"/>
              <w:rPr>
                <w:sz w:val="20"/>
                <w:szCs w:val="20"/>
                <w:color w:val="auto"/>
              </w:rPr>
            </w:pPr>
            <w:r>
              <w:rPr>
                <w:rFonts w:ascii="Times New Roman" w:cs="Times New Roman" w:eastAsia="Times New Roman" w:hAnsi="Times New Roman"/>
                <w:sz w:val="18"/>
                <w:szCs w:val="18"/>
                <w:color w:val="auto"/>
              </w:rPr>
              <w:t>141,660,945</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47,625</w:t>
            </w:r>
          </w:p>
        </w:tc>
        <w:tc>
          <w:tcPr>
            <w:tcW w:w="2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40,921</w:t>
            </w:r>
          </w:p>
        </w:tc>
        <w:tc>
          <w:tcPr>
            <w:tcW w:w="13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11. To renew the annual authority of the Board to determine the price range for the re-issue of treasury shares off market:</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2700" w:type="dxa"/>
            <w:vAlign w:val="bottom"/>
            <w:gridSpan w:val="2"/>
          </w:tcPr>
          <w:p>
            <w:pPr>
              <w:jc w:val="center"/>
              <w:ind w:right="2160"/>
              <w:spacing w:after="0"/>
              <w:rPr>
                <w:sz w:val="20"/>
                <w:szCs w:val="20"/>
                <w:color w:val="auto"/>
              </w:rPr>
            </w:pPr>
            <w:r>
              <w:rPr>
                <w:rFonts w:ascii="Times New Roman" w:cs="Times New Roman" w:eastAsia="Times New Roman" w:hAnsi="Times New Roman"/>
                <w:sz w:val="14"/>
                <w:szCs w:val="14"/>
                <w:color w:val="auto"/>
                <w:w w:val="97"/>
              </w:rPr>
              <w:t>Votes For</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Against</w:t>
            </w:r>
          </w:p>
        </w:tc>
        <w:tc>
          <w:tcPr>
            <w:tcW w:w="1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Abstentions</w:t>
            </w:r>
          </w:p>
        </w:tc>
        <w:tc>
          <w:tcPr>
            <w:tcW w:w="1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
        </w:trPr>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3480" w:type="dxa"/>
            <w:vAlign w:val="bottom"/>
            <w:gridSpan w:val="3"/>
            <w:shd w:val="clear" w:color="auto" w:fill="CCEEFF"/>
          </w:tcPr>
          <w:p>
            <w:pPr>
              <w:jc w:val="right"/>
              <w:ind w:right="1980"/>
              <w:spacing w:after="0"/>
              <w:rPr>
                <w:sz w:val="20"/>
                <w:szCs w:val="20"/>
                <w:color w:val="auto"/>
              </w:rPr>
            </w:pPr>
            <w:r>
              <w:rPr>
                <w:rFonts w:ascii="Times New Roman" w:cs="Times New Roman" w:eastAsia="Times New Roman" w:hAnsi="Times New Roman"/>
                <w:sz w:val="18"/>
                <w:szCs w:val="18"/>
                <w:color w:val="auto"/>
              </w:rPr>
              <w:t>141,596,230</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109,380</w:t>
            </w:r>
          </w:p>
        </w:tc>
        <w:tc>
          <w:tcPr>
            <w:tcW w:w="2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43,881</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disclosed above, a majority of the votes cast voted, in a non-binding vote, in favor of having a shareholder vote to approve the compensation of the Company’s Named Executive Officers every year. In light of such vote, and consistent with the Company’s recommendation, the Board determined that it will include an advisory vote to approve the compensation of the Company’s Named Executive Officers in its proxy materials every year until the next required vote on the frequency of stockholder votes on the compensation of the Company’s Named Executive Officers, or until the Board otherwise determines that it is in the best interest of the Company to hold an advisory vote on the compensation of the Company’s Named Executive Officers with a different frequency.</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June 5, 2025, the Company also released, via the Regulatory News Service in London (the “RNS”), an announcement regarding the results of the Annual General Meeting, in accordance with the disclosure requirements of the Listing Rules of the FCA in the United Kingdom, which is furnished as Exhibit 99.1 to this Form 8-K and is incorporated herein by reference.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20" w:type="dxa"/>
            <w:vAlign w:val="bottom"/>
            <w:gridSpan w:val="11"/>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3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(d)</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Exhibits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80" w:type="dxa"/>
            <w:vAlign w:val="bottom"/>
            <w:gridSpan w:val="9"/>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80" w:type="dxa"/>
            <w:vAlign w:val="bottom"/>
            <w:gridSpan w:val="9"/>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Flutter Entertainment plc Amended and Restated 2024 Omnibus Equity Incentive Plan including the Non-Employee Sub-Plan</w:t>
              </w:r>
            </w:hyperlink>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(incorporated by reference to Exhibit 4.1 of the Registrant’s Form S-8 Registration Statement filed with the SEC on June 5, 2025).</w:t>
              </w:r>
            </w:hyperlink>
          </w:p>
        </w:tc>
      </w:tr>
      <w:tr>
        <w:trPr>
          <w:trHeight w:val="30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Flutter Entertainment plc 2025 Employee Share Purchase Plan (incorporated by reference to Exhibit 4.2 of the Registrant’s Form</w:t>
              </w:r>
            </w:hyperlink>
          </w:p>
        </w:tc>
        <w:tc>
          <w:tcPr>
            <w:tcW w:w="10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80" w:type="dxa"/>
            <w:vAlign w:val="bottom"/>
            <w:gridSpan w:val="9"/>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S-8 Registration Statement filed with the SEC on June 5, 2025).</w:t>
              </w:r>
            </w:hyperlink>
          </w:p>
        </w:tc>
      </w:tr>
      <w:tr>
        <w:trPr>
          <w:trHeight w:val="20"/>
        </w:trPr>
        <w:tc>
          <w:tcPr>
            <w:tcW w:w="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Rules of the Flutter Entertainment plc Sharesave Scheme (as amended and restated effective June 5, 2025) (incorporated by</w:t>
              </w:r>
            </w:hyperlink>
          </w:p>
        </w:tc>
        <w:tc>
          <w:tcPr>
            <w:tcW w:w="480" w:type="dxa"/>
            <w:vAlign w:val="bottom"/>
            <w:gridSpan w:val="3"/>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80" w:type="dxa"/>
            <w:vAlign w:val="bottom"/>
            <w:gridSpan w:val="9"/>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reference to Exhibit 4.3 of the Registrant’s Form S-8 Registration Statement filed with the SEC on June 5, 2025).</w:t>
              </w:r>
            </w:hyperlink>
          </w:p>
        </w:tc>
      </w:tr>
      <w:tr>
        <w:trPr>
          <w:trHeight w:val="30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RNS announcement regarding the results of the Annual General Meeting</w:t>
            </w:r>
          </w:p>
        </w:tc>
        <w:tc>
          <w:tcPr>
            <w:tcW w:w="1240" w:type="dxa"/>
            <w:vAlign w:val="bottom"/>
            <w:gridSpan w:val="4"/>
          </w:tcPr>
          <w:p>
            <w:pPr>
              <w:spacing w:after="0"/>
              <w:rPr>
                <w:sz w:val="24"/>
                <w:szCs w:val="24"/>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4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Previously Filed.</w:t>
            </w:r>
          </w:p>
        </w:tc>
      </w:tr>
    </w:tbl>
    <w:p>
      <w:pPr>
        <w:sectPr>
          <w:pgSz w:w="11900" w:h="16838" w:orient="portrait"/>
          <w:cols w:equalWidth="0" w:num="1">
            <w:col w:w="11000"/>
          </w:cols>
          <w:pgMar w:left="440" w:top="293" w:right="45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June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Fiona Gildea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Fiona Gildea</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Deputy Company Secretary and Head of Governance</w:t>
      </w:r>
    </w:p>
    <w:p>
      <w:pPr>
        <w:sectPr>
          <w:pgSz w:w="11900" w:h="16838" w:orient="portrait"/>
          <w:cols w:equalWidth="0" w:num="1">
            <w:col w:w="10260"/>
          </w:cols>
          <w:pgMar w:left="440" w:top="293" w:right="11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 June 2025</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Flutter Entertainment plc (the “Company”)</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Results of Annual General Meeting 2025</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announces that the following resolutions were approved at its Annual General Meeting (“AGM”) held on June 5,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resolutions as set out in the Notice of Meeting were duly passed on a poll.</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number of votes for and against each of the resolutions put before the meeting and the number of votes withheld were as follows: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Resolutions</w:t>
            </w:r>
          </w:p>
        </w:tc>
        <w:tc>
          <w:tcPr>
            <w:tcW w:w="46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Votes For</w:t>
            </w:r>
            <w:r>
              <w:rPr>
                <w:rFonts w:ascii="Times New Roman" w:cs="Times New Roman" w:eastAsia="Times New Roman" w:hAnsi="Times New Roman"/>
                <w:sz w:val="10"/>
                <w:szCs w:val="10"/>
                <w:color w:val="auto"/>
              </w:rPr>
              <w:t>1</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color w:val="auto"/>
              </w:rPr>
              <w:t>Votes Against</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votes</w:t>
            </w:r>
            <w:r>
              <w:rPr>
                <w:rFonts w:ascii="Times New Roman" w:cs="Times New Roman" w:eastAsia="Times New Roman" w:hAnsi="Times New Roman"/>
                <w:sz w:val="10"/>
                <w:szCs w:val="10"/>
                <w:color w:val="auto"/>
              </w:rPr>
              <w:t>2</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Votes Withheld</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48"/>
        </w:trPr>
        <w:tc>
          <w:tcPr>
            <w:tcW w:w="680" w:type="dxa"/>
            <w:vAlign w:val="bottom"/>
            <w:tcBorders>
              <w:bottom w:val="single" w:sz="8" w:color="auto"/>
            </w:tcBorders>
            <w:vMerge w:val="continue"/>
          </w:tcPr>
          <w:p>
            <w:pPr>
              <w:spacing w:after="0"/>
              <w:rPr>
                <w:sz w:val="12"/>
                <w:szCs w:val="12"/>
                <w:color w:val="auto"/>
              </w:rPr>
            </w:pPr>
          </w:p>
        </w:tc>
        <w:tc>
          <w:tcPr>
            <w:tcW w:w="460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260"/>
              <w:spacing w:after="0" w:line="129" w:lineRule="exact"/>
              <w:rPr>
                <w:sz w:val="20"/>
                <w:szCs w:val="20"/>
                <w:color w:val="auto"/>
              </w:rPr>
            </w:pPr>
            <w:r>
              <w:rPr>
                <w:rFonts w:ascii="Times New Roman" w:cs="Times New Roman" w:eastAsia="Times New Roman" w:hAnsi="Times New Roman"/>
                <w:sz w:val="14"/>
                <w:szCs w:val="14"/>
                <w:color w:val="auto"/>
              </w:rPr>
              <w:t>No. of shares</w:t>
            </w:r>
          </w:p>
        </w:tc>
        <w:tc>
          <w:tcPr>
            <w:tcW w:w="460" w:type="dxa"/>
            <w:vAlign w:val="bottom"/>
            <w:tcBorders>
              <w:top w:val="single" w:sz="8" w:color="auto"/>
            </w:tcBorders>
          </w:tcPr>
          <w:p>
            <w:pPr>
              <w:jc w:val="right"/>
              <w:ind w:right="72"/>
              <w:spacing w:after="0" w:line="12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No. of shares</w:t>
            </w:r>
          </w:p>
        </w:tc>
        <w:tc>
          <w:tcPr>
            <w:tcW w:w="380" w:type="dxa"/>
            <w:vAlign w:val="bottom"/>
            <w:tcBorders>
              <w:top w:val="single" w:sz="8" w:color="auto"/>
            </w:tcBorders>
          </w:tcPr>
          <w:p>
            <w:pPr>
              <w:jc w:val="right"/>
              <w:ind w:right="32"/>
              <w:spacing w:after="0" w:line="12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60" w:type="dxa"/>
            <w:vAlign w:val="bottom"/>
            <w:tcBorders>
              <w:top w:val="single" w:sz="8" w:color="auto"/>
            </w:tcBorders>
          </w:tcPr>
          <w:p>
            <w:pPr>
              <w:jc w:val="right"/>
              <w:ind w:right="13"/>
              <w:spacing w:after="0" w:line="129" w:lineRule="exact"/>
              <w:rPr>
                <w:sz w:val="20"/>
                <w:szCs w:val="20"/>
                <w:color w:val="auto"/>
              </w:rPr>
            </w:pPr>
            <w:r>
              <w:rPr>
                <w:rFonts w:ascii="Times New Roman" w:cs="Times New Roman" w:eastAsia="Times New Roman" w:hAnsi="Times New Roman"/>
                <w:sz w:val="14"/>
                <w:szCs w:val="14"/>
                <w:color w:val="auto"/>
              </w:rPr>
              <w:t>No. of shares</w:t>
            </w:r>
          </w:p>
        </w:tc>
        <w:tc>
          <w:tcPr>
            <w:tcW w:w="160" w:type="dxa"/>
            <w:vAlign w:val="bottom"/>
          </w:tcPr>
          <w:p>
            <w:pPr>
              <w:spacing w:after="0"/>
              <w:rPr>
                <w:sz w:val="12"/>
                <w:szCs w:val="12"/>
                <w:color w:val="auto"/>
              </w:rPr>
            </w:pPr>
          </w:p>
        </w:tc>
        <w:tc>
          <w:tcPr>
            <w:tcW w:w="940" w:type="dxa"/>
            <w:vAlign w:val="bottom"/>
            <w:tcBorders>
              <w:top w:val="single" w:sz="8" w:color="auto"/>
            </w:tcBorders>
          </w:tcPr>
          <w:p>
            <w:pPr>
              <w:jc w:val="right"/>
              <w:ind w:right="13"/>
              <w:spacing w:after="0" w:line="129" w:lineRule="exact"/>
              <w:rPr>
                <w:sz w:val="20"/>
                <w:szCs w:val="20"/>
                <w:color w:val="auto"/>
              </w:rPr>
            </w:pPr>
            <w:r>
              <w:rPr>
                <w:rFonts w:ascii="Times New Roman" w:cs="Times New Roman" w:eastAsia="Times New Roman" w:hAnsi="Times New Roman"/>
                <w:sz w:val="14"/>
                <w:szCs w:val="14"/>
                <w:color w:val="auto"/>
              </w:rPr>
              <w:t>No. of shares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2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 By separate resolutions, to Elect /Re-elect:</w:t>
            </w: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1(a) John Bryant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124,923,670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95.03%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6,527,171</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4.96%</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131,450,841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15,386</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1(b)</w:t>
            </w: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Jackson</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131,372,555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80,630</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131,453,185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13,042</w:t>
            </w:r>
          </w:p>
        </w:tc>
        <w:tc>
          <w:tcPr>
            <w:tcW w:w="0" w:type="dxa"/>
            <w:vAlign w:val="bottom"/>
          </w:tcPr>
          <w:p>
            <w:pPr>
              <w:spacing w:after="0"/>
              <w:rPr>
                <w:sz w:val="1"/>
                <w:szCs w:val="1"/>
                <w:color w:val="auto"/>
              </w:rPr>
            </w:pPr>
          </w:p>
        </w:tc>
      </w:tr>
      <w:tr>
        <w:trPr>
          <w:trHeight w:val="216"/>
        </w:trPr>
        <w:tc>
          <w:tcPr>
            <w:tcW w:w="5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1(c) Robert (Dob) Bennett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131,360,302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99.93%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88,006</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131,448,308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17,919</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1(d)</w:t>
            </w: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Nancy Cruickshank</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131,363,006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85,595</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131,448,601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17,626</w:t>
            </w:r>
          </w:p>
        </w:tc>
        <w:tc>
          <w:tcPr>
            <w:tcW w:w="0" w:type="dxa"/>
            <w:vAlign w:val="bottom"/>
          </w:tcPr>
          <w:p>
            <w:pPr>
              <w:spacing w:after="0"/>
              <w:rPr>
                <w:sz w:val="1"/>
                <w:szCs w:val="1"/>
                <w:color w:val="auto"/>
              </w:rPr>
            </w:pPr>
          </w:p>
        </w:tc>
      </w:tr>
      <w:tr>
        <w:trPr>
          <w:trHeight w:val="216"/>
        </w:trPr>
        <w:tc>
          <w:tcPr>
            <w:tcW w:w="5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1(e) Nancy Dubuc</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131,294,145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99.88%</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154,596</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131,448,741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17,486</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1(f) Alfred F. Hurley</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129,422,786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98.45%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2,025,273</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131,448,059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18,168</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1(g)</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Holly Keller Koeppel</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127,166,541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96.74%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4,278,542</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131,445,083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21,144</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1(h)</w:t>
            </w: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Carolan Lennon</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130,763,271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686,383</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131,449,654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16,573</w:t>
            </w:r>
          </w:p>
        </w:tc>
        <w:tc>
          <w:tcPr>
            <w:tcW w:w="0" w:type="dxa"/>
            <w:vAlign w:val="bottom"/>
          </w:tcPr>
          <w:p>
            <w:pPr>
              <w:spacing w:after="0"/>
              <w:rPr>
                <w:sz w:val="1"/>
                <w:szCs w:val="1"/>
                <w:color w:val="auto"/>
              </w:rPr>
            </w:pPr>
          </w:p>
        </w:tc>
      </w:tr>
      <w:tr>
        <w:trPr>
          <w:trHeight w:val="216"/>
        </w:trPr>
        <w:tc>
          <w:tcPr>
            <w:tcW w:w="5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1(i) Christine M. McCarthy</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131,289,107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99.87%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159,302</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131,448,409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17,818</w:t>
            </w:r>
          </w:p>
        </w:tc>
        <w:tc>
          <w:tcPr>
            <w:tcW w:w="0" w:type="dxa"/>
            <w:vAlign w:val="bottom"/>
          </w:tcPr>
          <w:p>
            <w:pPr>
              <w:spacing w:after="0"/>
              <w:rPr>
                <w:sz w:val="1"/>
                <w:szCs w:val="1"/>
                <w:color w:val="auto"/>
              </w:rPr>
            </w:pP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 Proposal to approve, on an advisory basis, the compensation of the</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Company’s Named Executive Officers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128,821,453</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98.08%</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2,519,077</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131,340,530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125,697</w:t>
            </w:r>
          </w:p>
        </w:tc>
        <w:tc>
          <w:tcPr>
            <w:tcW w:w="0" w:type="dxa"/>
            <w:vAlign w:val="bottom"/>
          </w:tcPr>
          <w:p>
            <w:pPr>
              <w:spacing w:after="0"/>
              <w:rPr>
                <w:sz w:val="1"/>
                <w:szCs w:val="1"/>
                <w:color w:val="auto"/>
              </w:rPr>
            </w:pPr>
          </w:p>
        </w:tc>
      </w:tr>
    </w:tbl>
    <w:p>
      <w:pPr>
        <w:ind w:left="184" w:right="5900" w:hanging="184"/>
        <w:spacing w:after="0" w:line="250" w:lineRule="auto"/>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to approve, on a non-binding advisory basis, (every one, two or three years) of advisory votes to approve the compensation of the Company’s Named Executive Officers – </w:t>
      </w:r>
      <w:r>
        <w:rPr>
          <w:rFonts w:ascii="Times New Roman" w:cs="Times New Roman" w:eastAsia="Times New Roman" w:hAnsi="Times New Roman"/>
          <w:sz w:val="18"/>
          <w:szCs w:val="18"/>
          <w:b w:val="1"/>
          <w:bCs w:val="1"/>
          <w:i w:val="1"/>
          <w:iCs w:val="1"/>
          <w:color w:val="auto"/>
        </w:rPr>
        <w:t>See below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breakdown of vote received in respect of Resolution 3</w:t>
      </w:r>
    </w:p>
    <w:p>
      <w:pPr>
        <w:spacing w:after="0" w:line="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approve the Flutter Entertainment plc Amended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99516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Restated 2024 Omnibus Equity Incentive Plan</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126,683,628</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96.47%</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4,632,583</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131,316,211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150,016</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to approve the Flutter Entertainment plc 2025 Employee</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Purchase Plan</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131,431,640</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99.98%</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22,687</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131,454,327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198"/>
        </w:trPr>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6.</w:t>
            </w:r>
          </w:p>
        </w:tc>
        <w:tc>
          <w:tcPr>
            <w:tcW w:w="5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Proposal to approve of the Flutter Entertainment plc Sharesave</w:t>
            </w: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160" w:type="dxa"/>
            <w:vAlign w:val="bottom"/>
            <w:shd w:val="clear" w:color="auto" w:fill="CCEEFF"/>
          </w:tcPr>
          <w:p>
            <w:pPr>
              <w:spacing w:after="0"/>
              <w:rPr>
                <w:sz w:val="20"/>
                <w:szCs w:val="20"/>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Scheme (as amended and restated)</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130,949,912</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99.62%</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494,879</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131,444,791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21,436</w:t>
            </w:r>
          </w:p>
        </w:tc>
      </w:tr>
      <w:tr>
        <w:trPr>
          <w:trHeight w:val="198"/>
        </w:trPr>
        <w:tc>
          <w:tcPr>
            <w:tcW w:w="5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7a. Proposal to ratify, in a non-binding vote, the appointment of KPMG</w:t>
            </w: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Independent Registered Public Accounting Firm and Auditors of</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 for the year ended December 31, 2025</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138,813,590</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97.94%</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2,912,473</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141,726,063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23,428</w:t>
            </w:r>
          </w:p>
        </w:tc>
      </w:tr>
      <w:tr>
        <w:trPr>
          <w:trHeight w:val="198"/>
        </w:trPr>
        <w:tc>
          <w:tcPr>
            <w:tcW w:w="5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7b. Proposal to authorize, in a binding vote, the Board to fix the</w:t>
            </w: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160" w:type="dxa"/>
            <w:vAlign w:val="bottom"/>
            <w:shd w:val="clear" w:color="auto" w:fill="CCEEFF"/>
          </w:tcPr>
          <w:p>
            <w:pPr>
              <w:spacing w:after="0"/>
              <w:rPr>
                <w:sz w:val="20"/>
                <w:szCs w:val="20"/>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of KPMG</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141,621,298</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99.92%</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105,255</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141,726,553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22,938</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to renew the annual authority of the Board to issue shares</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141,021,758</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99.50%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706,502</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141,728,260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21,231</w:t>
            </w:r>
          </w:p>
        </w:tc>
      </w:tr>
      <w:tr>
        <w:trPr>
          <w:trHeight w:val="198"/>
        </w:trPr>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9.</w:t>
            </w:r>
          </w:p>
        </w:tc>
        <w:tc>
          <w:tcPr>
            <w:tcW w:w="5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Proposal to renew the annual authority of the Board to issue shares</w:t>
            </w: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160" w:type="dxa"/>
            <w:vAlign w:val="bottom"/>
            <w:shd w:val="clear" w:color="auto" w:fill="CCEEFF"/>
          </w:tcPr>
          <w:p>
            <w:pPr>
              <w:spacing w:after="0"/>
              <w:rPr>
                <w:sz w:val="20"/>
                <w:szCs w:val="20"/>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cash without first offering shares to existing shareholders*</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130,174,189</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91.84%</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11,551,734</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141,725,923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23,568</w:t>
            </w:r>
          </w:p>
        </w:tc>
      </w:tr>
      <w:tr>
        <w:trPr>
          <w:trHeight w:val="198"/>
        </w:trPr>
        <w:tc>
          <w:tcPr>
            <w:tcW w:w="5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 Proposal to renew the annual authority of the Board to make market</w:t>
            </w: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the Company’s shares</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141,660,945</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99.96%</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47,625</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141,708,570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40,921</w:t>
            </w:r>
          </w:p>
        </w:tc>
      </w:tr>
      <w:tr>
        <w:trPr>
          <w:trHeight w:val="198"/>
        </w:trPr>
        <w:tc>
          <w:tcPr>
            <w:tcW w:w="5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11. Proposal to renew the annual authority of the Board to determine</w:t>
            </w: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160" w:type="dxa"/>
            <w:vAlign w:val="bottom"/>
            <w:shd w:val="clear" w:color="auto" w:fill="CCEEFF"/>
          </w:tcPr>
          <w:p>
            <w:pPr>
              <w:spacing w:after="0"/>
              <w:rPr>
                <w:sz w:val="20"/>
                <w:szCs w:val="20"/>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price range for the re-issue of treasury shares off market*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141,596,230</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99.92%</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109,380</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141,705,610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43,881</w:t>
            </w:r>
          </w:p>
        </w:tc>
      </w:tr>
    </w:tbl>
    <w:p>
      <w:pPr>
        <w:sectPr>
          <w:pgSz w:w="11900" w:h="16838" w:orient="portrait"/>
          <w:cols w:equalWidth="0" w:num="1">
            <w:col w:w="11024"/>
          </w:cols>
          <w:pgMar w:left="436" w:top="117"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71"/>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Resolution</w:t>
            </w:r>
          </w:p>
        </w:tc>
        <w:tc>
          <w:tcPr>
            <w:tcW w:w="2700" w:type="dxa"/>
            <w:vAlign w:val="bottom"/>
          </w:tcPr>
          <w:p>
            <w:pPr>
              <w:spacing w:after="0"/>
              <w:rPr>
                <w:sz w:val="14"/>
                <w:szCs w:val="14"/>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Votes For 1 Year</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Votes For 2 Years</w:t>
            </w:r>
          </w:p>
        </w:tc>
        <w:tc>
          <w:tcPr>
            <w:tcW w:w="1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Votes For 3 Years</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Total votes</w:t>
            </w:r>
            <w:r>
              <w:rPr>
                <w:rFonts w:ascii="Times New Roman" w:cs="Times New Roman" w:eastAsia="Times New Roman" w:hAnsi="Times New Roman"/>
                <w:sz w:val="10"/>
                <w:szCs w:val="10"/>
                <w:color w:val="auto"/>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Withheld</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33"/>
        </w:trPr>
        <w:tc>
          <w:tcPr>
            <w:tcW w:w="640" w:type="dxa"/>
            <w:vAlign w:val="bottom"/>
            <w:tcBorders>
              <w:bottom w:val="single" w:sz="8" w:color="auto"/>
            </w:tcBorders>
            <w:vMerge w:val="continue"/>
          </w:tcPr>
          <w:p>
            <w:pPr>
              <w:spacing w:after="0"/>
              <w:rPr>
                <w:sz w:val="11"/>
                <w:szCs w:val="11"/>
                <w:color w:val="auto"/>
              </w:rPr>
            </w:pPr>
          </w:p>
        </w:tc>
        <w:tc>
          <w:tcPr>
            <w:tcW w:w="2700" w:type="dxa"/>
            <w:vAlign w:val="bottom"/>
          </w:tcPr>
          <w:p>
            <w:pPr>
              <w:spacing w:after="0"/>
              <w:rPr>
                <w:sz w:val="11"/>
                <w:szCs w:val="11"/>
                <w:color w:val="auto"/>
              </w:rPr>
            </w:pPr>
          </w:p>
        </w:tc>
        <w:tc>
          <w:tcPr>
            <w:tcW w:w="1320" w:type="dxa"/>
            <w:vAlign w:val="bottom"/>
            <w:tcBorders>
              <w:top w:val="single" w:sz="8" w:color="auto"/>
            </w:tcBorders>
          </w:tcPr>
          <w:p>
            <w:pPr>
              <w:ind w:left="80"/>
              <w:spacing w:after="0" w:line="129" w:lineRule="exact"/>
              <w:rPr>
                <w:sz w:val="20"/>
                <w:szCs w:val="20"/>
                <w:color w:val="auto"/>
              </w:rPr>
            </w:pPr>
            <w:r>
              <w:rPr>
                <w:rFonts w:ascii="Times New Roman" w:cs="Times New Roman" w:eastAsia="Times New Roman" w:hAnsi="Times New Roman"/>
                <w:sz w:val="14"/>
                <w:szCs w:val="14"/>
                <w:color w:val="auto"/>
              </w:rPr>
              <w:t>No. of shares</w:t>
            </w:r>
          </w:p>
        </w:tc>
        <w:tc>
          <w:tcPr>
            <w:tcW w:w="320" w:type="dxa"/>
            <w:vAlign w:val="bottom"/>
            <w:tcBorders>
              <w:top w:val="single" w:sz="8" w:color="auto"/>
            </w:tcBorders>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9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u w:val="single" w:color="auto"/>
                <w:color w:val="auto"/>
              </w:rPr>
              <w:t>No. of shares</w:t>
            </w:r>
          </w:p>
        </w:tc>
        <w:tc>
          <w:tcPr>
            <w:tcW w:w="440" w:type="dxa"/>
            <w:vAlign w:val="bottom"/>
            <w:tcBorders>
              <w:top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9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u w:val="single" w:color="auto"/>
                <w:color w:val="auto"/>
              </w:rPr>
              <w:t>No. of shares</w:t>
            </w:r>
          </w:p>
        </w:tc>
        <w:tc>
          <w:tcPr>
            <w:tcW w:w="420" w:type="dxa"/>
            <w:vAlign w:val="bottom"/>
            <w:tcBorders>
              <w:top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No. of shares</w:t>
            </w:r>
          </w:p>
        </w:tc>
        <w:tc>
          <w:tcPr>
            <w:tcW w:w="240" w:type="dxa"/>
            <w:vAlign w:val="bottom"/>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No. 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995160" cy="685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995160" cy="685800"/>
                    </a:xfrm>
                    <a:prstGeom prst="rect">
                      <a:avLst/>
                    </a:prstGeom>
                    <a:noFill/>
                  </pic:spPr>
                </pic:pic>
              </a:graphicData>
            </a:graphic>
          </wp:anchor>
        </w:drawing>
      </w:r>
    </w:p>
    <w:p>
      <w:pPr>
        <w:ind w:left="184" w:right="7900" w:hanging="184"/>
        <w:spacing w:after="0" w:line="265" w:lineRule="auto"/>
        <w:tabs>
          <w:tab w:leader="none" w:pos="18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to approve, on a non-binding advisory basis, (every one, two or three years) of advisory votes to approve the compensation of the Company’s Named</w:t>
      </w:r>
    </w:p>
    <w:p>
      <w:pPr>
        <w:spacing w:after="0" w:line="1" w:lineRule="exact"/>
        <w:rPr>
          <w:sz w:val="20"/>
          <w:szCs w:val="20"/>
          <w:color w:val="auto"/>
        </w:rPr>
      </w:pPr>
    </w:p>
    <w:tbl>
      <w:tblPr>
        <w:tblLayout w:type="fixed"/>
        <w:tblInd w:w="184" w:type="dxa"/>
        <w:tblCellMar>
          <w:top w:w="0" w:type="dxa"/>
          <w:left w:w="0" w:type="dxa"/>
          <w:bottom w:w="0" w:type="dxa"/>
          <w:right w:w="0" w:type="dxa"/>
        </w:tblCellMar>
      </w:tblPr>
      <w:tr>
        <w:trPr>
          <w:trHeight w:val="355"/>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w:t>
            </w:r>
            <w:r>
              <w:rPr>
                <w:rFonts w:ascii="Times New Roman" w:cs="Times New Roman" w:eastAsia="Times New Roman" w:hAnsi="Times New Roman"/>
                <w:sz w:val="26"/>
                <w:szCs w:val="26"/>
                <w:color w:val="auto"/>
                <w:vertAlign w:val="superscript"/>
              </w:rPr>
              <w:t>3</w:t>
            </w:r>
          </w:p>
        </w:tc>
        <w:tc>
          <w:tcPr>
            <w:tcW w:w="2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126,965,453   99.63%</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7,657   0.00%</w:t>
            </w:r>
          </w:p>
        </w:tc>
        <w:tc>
          <w:tcPr>
            <w:tcW w:w="2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463,333   0.36%   127,436,443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4,029,784</w:t>
            </w:r>
          </w:p>
        </w:tc>
      </w:tr>
    </w:tbl>
    <w:p>
      <w:pPr>
        <w:spacing w:after="0" w:line="86"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Special Resolutions</w:t>
      </w:r>
    </w:p>
    <w:p>
      <w:pPr>
        <w:spacing w:after="0" w:line="11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54"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Votes “For” and “Against” are expressed as a percentage of votes received. The “For” votes include those giving the Chair discretion.</w:t>
      </w:r>
    </w:p>
    <w:p>
      <w:pPr>
        <w:spacing w:after="0" w:line="1" w:lineRule="exact"/>
        <w:rPr>
          <w:sz w:val="20"/>
          <w:szCs w:val="20"/>
          <w:color w:val="auto"/>
        </w:rPr>
      </w:pPr>
    </w:p>
    <w:p>
      <w:pPr>
        <w:ind w:left="424" w:right="340" w:hanging="424"/>
        <w:spacing w:after="0" w:line="199" w:lineRule="auto"/>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total number of ordinary shares in issue on 10 April 2025 was 176,740,036. The Company does not currently hold any ordinary shares as Treasury Shares.</w:t>
      </w:r>
    </w:p>
    <w:p>
      <w:pPr>
        <w:ind w:left="424" w:hanging="424"/>
        <w:spacing w:after="0" w:line="181" w:lineRule="auto"/>
        <w:tabs>
          <w:tab w:leader="none" w:pos="424"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 vote “Withheld” is not a vote in law and is not counted in the calculation of the votes “For” or “Against” the resolution.</w:t>
      </w:r>
    </w:p>
    <w:p>
      <w:pPr>
        <w:spacing w:after="0" w:line="2"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total number of votes cast at the AGM (i.e. For, Against and Withheld) was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141,749,491</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ordinary shares representing an 80.20% turnout.</w:t>
      </w:r>
    </w:p>
    <w:p>
      <w:pPr>
        <w:spacing w:after="0" w:line="102"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 xml:space="preserve">The full text of the resolutions can be found in the Notice of AGM, which is available for inspection at the UK Financial Conduct Authority’s (“FCA”) National Storage Mechanism </w:t>
      </w:r>
      <w:r>
        <w:rPr>
          <w:rFonts w:ascii="Times New Roman" w:cs="Times New Roman" w:eastAsia="Times New Roman" w:hAnsi="Times New Roman"/>
          <w:sz w:val="18"/>
          <w:szCs w:val="18"/>
          <w:u w:val="single" w:color="auto"/>
          <w:color w:val="auto"/>
        </w:rPr>
        <w:t>https://data.fca.org.uk/#/nsm/nationalstoragemechanism</w:t>
      </w:r>
      <w:r>
        <w:rPr>
          <w:rFonts w:ascii="Times New Roman" w:cs="Times New Roman" w:eastAsia="Times New Roman" w:hAnsi="Times New Roman"/>
          <w:sz w:val="18"/>
          <w:szCs w:val="18"/>
          <w:color w:val="auto"/>
        </w:rPr>
        <w:t xml:space="preserve"> and on the Company’s website at </w:t>
      </w:r>
      <w:r>
        <w:rPr>
          <w:rFonts w:ascii="Times New Roman" w:cs="Times New Roman" w:eastAsia="Times New Roman" w:hAnsi="Times New Roman"/>
          <w:sz w:val="18"/>
          <w:szCs w:val="18"/>
          <w:u w:val="single" w:color="auto"/>
          <w:color w:val="auto"/>
        </w:rPr>
        <w:t>www.flutter.com/investors/shareholder-centre/agm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 xml:space="preserve">A copy of the resolutions passed under special business (as defined by the Listing Rules of the FCA) will shortly be submitted to the FCA’s National Storage Mechanism for inspection at </w:t>
      </w:r>
      <w:r>
        <w:rPr>
          <w:rFonts w:ascii="Times New Roman" w:cs="Times New Roman" w:eastAsia="Times New Roman" w:hAnsi="Times New Roman"/>
          <w:sz w:val="18"/>
          <w:szCs w:val="18"/>
          <w:u w:val="single" w:color="auto"/>
          <w:color w:val="auto"/>
        </w:rPr>
        <w:t>https://data.fca.org.uk/#/nsm/nationalstoragemechanism</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Edward Traynor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Secretary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Flutter Entertainment plc</w:t>
      </w:r>
    </w:p>
    <w:sectPr>
      <w:pgSz w:w="11900" w:h="16838" w:orient="portrait"/>
      <w:cols w:equalWidth="0" w:num="1">
        <w:col w:w="10964"/>
      </w:cols>
      <w:pgMar w:left="436" w:top="26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3"/>
      <w:numFmt w:val="bullet"/>
      <w:start w:val="1"/>
    </w:lvl>
  </w:abstractNum>
  <w:abstractNum w:abstractNumId="7">
    <w:nsid w:val="7545E146"/>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18" Type="http://schemas.openxmlformats.org/officeDocument/2006/relationships/hyperlink" Target="http://www.sec.gov/Archives/edgar/data/1635327/000162828025019696/flut-20250424.htm#i008ac9ab17e54b1fb5ed2a7dca50e875_759" TargetMode="External"/><Relationship Id="rId19" Type="http://schemas.openxmlformats.org/officeDocument/2006/relationships/hyperlink" Target="http://www.sec.gov/Archives/edgar/data/1635327/000162828025019696/flut-20250424.htm#i008ac9ab17e54b1fb5ed2a7dca50e875_3118" TargetMode="External"/><Relationship Id="rId20" Type="http://schemas.openxmlformats.org/officeDocument/2006/relationships/hyperlink" Target="http://www.sec.gov/Archives/edgar/data/1635327/000162828025019696/flut-20250424.htm#i008ac9ab17e54b1fb5ed2a7dca50e875_856" TargetMode="External"/><Relationship Id="rId24" Type="http://schemas.openxmlformats.org/officeDocument/2006/relationships/hyperlink" Target="http://www.sec.gov/Archives/edgar/data/1635327/000119312525135852/d57230dex41.htm" TargetMode="External"/><Relationship Id="rId25" Type="http://schemas.openxmlformats.org/officeDocument/2006/relationships/hyperlink" Target="http://www.sec.gov/Archives/edgar/data/1635327/000119312525135852/d57230dex42.htm" TargetMode="External"/><Relationship Id="rId26" Type="http://schemas.openxmlformats.org/officeDocument/2006/relationships/hyperlink" Target="http://www.sec.gov/Archives/edgar/data/1635327/000119312525135852/d57230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2025-06-05T15:36:35Z</dcterms:created>
  <dcterms:modified xsi:type="dcterms:W3CDTF">2025-06-05T15:36:35Z</dcterms:modified>
</cp:coreProperties>
</file>