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440055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414020</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2053590</wp:posOffset>
            </wp:positionH>
            <wp:positionV relativeFrom="paragraph">
              <wp:posOffset>201930</wp:posOffset>
            </wp:positionV>
            <wp:extent cx="30346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6" w:lineRule="exact"/>
        <w:rPr>
          <w:sz w:val="24"/>
          <w:szCs w:val="24"/>
          <w:color w:val="auto"/>
        </w:rPr>
      </w:pPr>
    </w:p>
    <w:p>
      <w:pPr>
        <w:ind w:left="3760" w:right="2760" w:hanging="878"/>
        <w:spacing w:after="0" w:line="253" w:lineRule="auto"/>
        <w:tabs>
          <w:tab w:leader="none" w:pos="308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040" w:hanging="214"/>
        <w:spacing w:after="0"/>
        <w:tabs>
          <w:tab w:leader="none" w:pos="30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w:t>
      </w:r>
    </w:p>
    <w:p>
      <w:pPr>
        <w:spacing w:after="0" w:line="3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 w:lineRule="exact"/>
        <w:rPr>
          <w:sz w:val="24"/>
          <w:szCs w:val="24"/>
          <w:color w:val="auto"/>
        </w:rPr>
      </w:pPr>
    </w:p>
    <w:p>
      <w:pPr>
        <w:ind w:left="3940"/>
        <w:spacing w:after="0"/>
        <w:tabs>
          <w:tab w:leader="none" w:pos="6420" w:val="left"/>
        </w:tabs>
        <w:rPr>
          <w:sz w:val="20"/>
          <w:szCs w:val="20"/>
          <w:color w:val="auto"/>
        </w:rPr>
      </w:pPr>
      <w:r>
        <w:rPr>
          <w:rFonts w:ascii="Times New Roman" w:cs="Times New Roman" w:eastAsia="Times New Roman" w:hAnsi="Times New Roman"/>
          <w:sz w:val="14"/>
          <w:szCs w:val="14"/>
          <w:color w:val="auto"/>
        </w:rPr>
        <w:t xml:space="preserve">For the transition period from              </w:t>
        <w:tab/>
        <w:t xml:space="preserve">to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3610610</wp:posOffset>
            </wp:positionH>
            <wp:positionV relativeFrom="paragraph">
              <wp:posOffset>-11430</wp:posOffset>
            </wp:positionV>
            <wp:extent cx="1030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0605" cy="825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4"/>
          <w:szCs w:val="14"/>
          <w:color w:val="auto"/>
        </w:rPr>
        <w:t>Commission File Number: 001-37403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2053590</wp:posOffset>
            </wp:positionH>
            <wp:positionV relativeFrom="paragraph">
              <wp:posOffset>204470</wp:posOffset>
            </wp:positionV>
            <wp:extent cx="3034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tbl>
      <w:tblPr>
        <w:tblLayout w:type="fixed"/>
        <w:tblInd w:w="1620" w:type="dxa"/>
        <w:tblCellMar>
          <w:top w:w="0" w:type="dxa"/>
          <w:left w:w="0" w:type="dxa"/>
          <w:bottom w:w="0" w:type="dxa"/>
          <w:right w:w="0" w:type="dxa"/>
        </w:tblCellMar>
      </w:tblPr>
      <w:tr>
        <w:trPr>
          <w:trHeight w:val="348"/>
        </w:trPr>
        <w:tc>
          <w:tcPr>
            <w:tcW w:w="5800" w:type="dxa"/>
            <w:vAlign w:val="bottom"/>
          </w:tcPr>
          <w:p>
            <w:pPr>
              <w:ind w:left="2520"/>
              <w:spacing w:after="0"/>
              <w:rPr>
                <w:sz w:val="20"/>
                <w:szCs w:val="20"/>
                <w:color w:val="auto"/>
              </w:rPr>
            </w:pPr>
            <w:r>
              <w:rPr>
                <w:rFonts w:ascii="Times New Roman" w:cs="Times New Roman" w:eastAsia="Times New Roman" w:hAnsi="Times New Roman"/>
                <w:sz w:val="27"/>
                <w:szCs w:val="27"/>
                <w:b w:val="1"/>
                <w:bCs w:val="1"/>
                <w:color w:val="auto"/>
              </w:rPr>
              <w:t>Flutter Entertainment plc</w:t>
            </w:r>
          </w:p>
        </w:tc>
        <w:tc>
          <w:tcPr>
            <w:tcW w:w="1520" w:type="dxa"/>
            <w:vAlign w:val="bottom"/>
          </w:tcPr>
          <w:p>
            <w:pPr>
              <w:spacing w:after="0"/>
              <w:rPr>
                <w:sz w:val="24"/>
                <w:szCs w:val="24"/>
                <w:color w:val="auto"/>
              </w:rPr>
            </w:pPr>
          </w:p>
        </w:tc>
      </w:tr>
      <w:tr>
        <w:trPr>
          <w:trHeight w:val="188"/>
        </w:trPr>
        <w:tc>
          <w:tcPr>
            <w:tcW w:w="5800" w:type="dxa"/>
            <w:vAlign w:val="bottom"/>
          </w:tcPr>
          <w:p>
            <w:pPr>
              <w:ind w:left="25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520" w:type="dxa"/>
            <w:vAlign w:val="bottom"/>
          </w:tcPr>
          <w:p>
            <w:pPr>
              <w:spacing w:after="0"/>
              <w:rPr>
                <w:sz w:val="16"/>
                <w:szCs w:val="16"/>
                <w:color w:val="auto"/>
              </w:rPr>
            </w:pPr>
          </w:p>
        </w:tc>
      </w:tr>
      <w:tr>
        <w:trPr>
          <w:trHeight w:val="517"/>
        </w:trPr>
        <w:tc>
          <w:tcPr>
            <w:tcW w:w="5800" w:type="dxa"/>
            <w:vAlign w:val="bottom"/>
          </w:tcPr>
          <w:p>
            <w:pPr>
              <w:jc w:val="center"/>
              <w:ind w:right="3133"/>
              <w:spacing w:after="0"/>
              <w:rPr>
                <w:sz w:val="20"/>
                <w:szCs w:val="20"/>
                <w:color w:val="auto"/>
              </w:rPr>
            </w:pPr>
            <w:r>
              <w:rPr>
                <w:rFonts w:ascii="Times New Roman" w:cs="Times New Roman" w:eastAsia="Times New Roman" w:hAnsi="Times New Roman"/>
                <w:sz w:val="16"/>
                <w:szCs w:val="16"/>
                <w:b w:val="1"/>
                <w:bCs w:val="1"/>
                <w:color w:val="auto"/>
                <w:w w:val="98"/>
              </w:rPr>
              <w:t>Ireland</w:t>
            </w:r>
          </w:p>
        </w:tc>
        <w:tc>
          <w:tcPr>
            <w:tcW w:w="15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98-1782229</w:t>
            </w:r>
          </w:p>
        </w:tc>
      </w:tr>
      <w:tr>
        <w:trPr>
          <w:trHeight w:val="235"/>
        </w:trPr>
        <w:tc>
          <w:tcPr>
            <w:tcW w:w="5800" w:type="dxa"/>
            <w:vAlign w:val="bottom"/>
          </w:tcPr>
          <w:p>
            <w:pPr>
              <w:jc w:val="center"/>
              <w:ind w:right="3133"/>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52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800" w:type="dxa"/>
            <w:vAlign w:val="bottom"/>
          </w:tcPr>
          <w:p>
            <w:pPr>
              <w:jc w:val="center"/>
              <w:ind w:right="3133"/>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52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233"/>
        </w:trPr>
        <w:tc>
          <w:tcPr>
            <w:tcW w:w="5800" w:type="dxa"/>
            <w:vAlign w:val="bottom"/>
          </w:tcPr>
          <w:p>
            <w:pPr>
              <w:jc w:val="center"/>
              <w:ind w:right="3133"/>
              <w:spacing w:after="0"/>
              <w:rPr>
                <w:sz w:val="20"/>
                <w:szCs w:val="20"/>
                <w:color w:val="auto"/>
              </w:rPr>
            </w:pPr>
            <w:r>
              <w:rPr>
                <w:rFonts w:ascii="Times New Roman" w:cs="Times New Roman" w:eastAsia="Times New Roman" w:hAnsi="Times New Roman"/>
                <w:sz w:val="16"/>
                <w:szCs w:val="16"/>
                <w:b w:val="1"/>
                <w:bCs w:val="1"/>
                <w:color w:val="auto"/>
              </w:rPr>
              <w:t>One Madison Avenue,</w:t>
            </w:r>
          </w:p>
        </w:tc>
        <w:tc>
          <w:tcPr>
            <w:tcW w:w="1520" w:type="dxa"/>
            <w:vAlign w:val="bottom"/>
          </w:tcPr>
          <w:p>
            <w:pPr>
              <w:spacing w:after="0"/>
              <w:rPr>
                <w:sz w:val="20"/>
                <w:szCs w:val="20"/>
                <w:color w:val="auto"/>
              </w:rPr>
            </w:pPr>
          </w:p>
        </w:tc>
      </w:tr>
      <w:tr>
        <w:trPr>
          <w:trHeight w:val="239"/>
        </w:trPr>
        <w:tc>
          <w:tcPr>
            <w:tcW w:w="5800" w:type="dxa"/>
            <w:vAlign w:val="bottom"/>
          </w:tcPr>
          <w:p>
            <w:pPr>
              <w:jc w:val="center"/>
              <w:ind w:right="3133"/>
              <w:spacing w:after="0"/>
              <w:rPr>
                <w:sz w:val="20"/>
                <w:szCs w:val="20"/>
                <w:color w:val="auto"/>
              </w:rPr>
            </w:pPr>
            <w:r>
              <w:rPr>
                <w:rFonts w:ascii="Times New Roman" w:cs="Times New Roman" w:eastAsia="Times New Roman" w:hAnsi="Times New Roman"/>
                <w:sz w:val="16"/>
                <w:szCs w:val="16"/>
                <w:b w:val="1"/>
                <w:bCs w:val="1"/>
                <w:color w:val="auto"/>
                <w:w w:val="98"/>
              </w:rPr>
              <w:t>New York, New York</w:t>
            </w:r>
          </w:p>
        </w:tc>
        <w:tc>
          <w:tcPr>
            <w:tcW w:w="15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10010</w:t>
            </w:r>
          </w:p>
        </w:tc>
      </w:tr>
      <w:tr>
        <w:trPr>
          <w:trHeight w:val="257"/>
        </w:trPr>
        <w:tc>
          <w:tcPr>
            <w:tcW w:w="5800" w:type="dxa"/>
            <w:vAlign w:val="bottom"/>
          </w:tcPr>
          <w:p>
            <w:pPr>
              <w:jc w:val="center"/>
              <w:ind w:right="3133"/>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520" w:type="dxa"/>
            <w:vAlign w:val="bottom"/>
          </w:tcPr>
          <w:p>
            <w:pPr>
              <w:jc w:val="center"/>
              <w:ind w:left="21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8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930-0950</w:t>
      </w:r>
    </w:p>
    <w:p>
      <w:pPr>
        <w:spacing w:after="0" w:line="3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Not Applicable</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210820</wp:posOffset>
            </wp:positionV>
            <wp:extent cx="263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5" w:lineRule="exact"/>
        <w:rPr>
          <w:sz w:val="24"/>
          <w:szCs w:val="24"/>
          <w:color w:val="auto"/>
        </w:rPr>
      </w:pPr>
    </w:p>
    <w:tbl>
      <w:tblPr>
        <w:tblLayout w:type="fixed"/>
        <w:tblInd w:w="90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415"/>
        </w:trPr>
        <w:tc>
          <w:tcPr>
            <w:tcW w:w="35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color w:val="auto"/>
              </w:rPr>
              <w:t>Ordinary Shares, nominal value of €0.09 per share</w:t>
            </w:r>
          </w:p>
        </w:tc>
        <w:tc>
          <w:tcPr>
            <w:tcW w:w="600" w:type="dxa"/>
            <w:vAlign w:val="bottom"/>
          </w:tcPr>
          <w:p>
            <w:pPr>
              <w:spacing w:after="0"/>
              <w:rPr>
                <w:sz w:val="24"/>
                <w:szCs w:val="24"/>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color w:val="auto"/>
              </w:rPr>
              <w:t>FLUT</w:t>
            </w:r>
          </w:p>
        </w:tc>
        <w:tc>
          <w:tcPr>
            <w:tcW w:w="540" w:type="dxa"/>
            <w:vAlign w:val="bottom"/>
          </w:tcPr>
          <w:p>
            <w:pPr>
              <w:spacing w:after="0"/>
              <w:rPr>
                <w:sz w:val="24"/>
                <w:szCs w:val="24"/>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357" w:lineRule="exact"/>
        <w:rPr>
          <w:sz w:val="24"/>
          <w:szCs w:val="24"/>
          <w:color w:val="auto"/>
        </w:rPr>
      </w:pPr>
    </w:p>
    <w:p>
      <w:pPr>
        <w:ind w:right="140" w:firstLine="771"/>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62" w:lineRule="exact"/>
        <w:rPr>
          <w:sz w:val="24"/>
          <w:szCs w:val="24"/>
          <w:color w:val="auto"/>
        </w:rPr>
      </w:pPr>
    </w:p>
    <w:p>
      <w:pPr>
        <w:ind w:right="120" w:firstLine="771"/>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75" w:lineRule="exact"/>
        <w:rPr>
          <w:sz w:val="24"/>
          <w:szCs w:val="24"/>
          <w:color w:val="auto"/>
        </w:rPr>
      </w:pPr>
    </w:p>
    <w:p>
      <w:pPr>
        <w:ind w:firstLine="771"/>
        <w:spacing w:after="0" w:line="28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5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Accelerated filer</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5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80" w:type="dxa"/>
            <w:vAlign w:val="bottom"/>
          </w:tcPr>
          <w:p>
            <w:pPr>
              <w:ind w:left="3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5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4980" w:type="dxa"/>
            <w:vAlign w:val="bottom"/>
          </w:tcPr>
          <w:p>
            <w:pPr>
              <w:spacing w:after="0"/>
              <w:rPr>
                <w:sz w:val="21"/>
                <w:szCs w:val="21"/>
                <w:color w:val="auto"/>
              </w:rPr>
            </w:pPr>
          </w:p>
        </w:tc>
        <w:tc>
          <w:tcPr>
            <w:tcW w:w="480" w:type="dxa"/>
            <w:vAlign w:val="bottom"/>
          </w:tcPr>
          <w:p>
            <w:pPr>
              <w:spacing w:after="0"/>
              <w:rPr>
                <w:sz w:val="21"/>
                <w:szCs w:val="21"/>
                <w:color w:val="auto"/>
              </w:rPr>
            </w:pPr>
          </w:p>
        </w:tc>
      </w:tr>
    </w:tbl>
    <w:p>
      <w:pPr>
        <w:spacing w:after="0" w:line="79" w:lineRule="exact"/>
        <w:rPr>
          <w:sz w:val="24"/>
          <w:szCs w:val="24"/>
          <w:color w:val="auto"/>
        </w:rPr>
      </w:pPr>
    </w:p>
    <w:p>
      <w:pPr>
        <w:ind w:right="280" w:firstLine="771"/>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0" w:lineRule="exact"/>
        <w:rPr>
          <w:sz w:val="24"/>
          <w:szCs w:val="24"/>
          <w:color w:val="auto"/>
        </w:rPr>
      </w:pPr>
    </w:p>
    <w:p>
      <w:pPr>
        <w:ind w:left="780" w:right="2220"/>
        <w:spacing w:after="0" w:line="26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As of October 30, 2026, the number of shares of the registrant’s ordinary shares outstanding is 173,871,245.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108585</wp:posOffset>
            </wp:positionV>
            <wp:extent cx="70980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82550</wp:posOffset>
            </wp:positionV>
            <wp:extent cx="7098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120"/>
          </w:cols>
          <w:pgMar w:left="320" w:top="225" w:right="4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40" w:type="dxa"/>
            <w:vAlign w:val="bottom"/>
          </w:tcPr>
          <w:p>
            <w:pPr>
              <w:spacing w:after="0"/>
              <w:rPr>
                <w:sz w:val="17"/>
                <w:szCs w:val="17"/>
                <w:color w:val="auto"/>
              </w:rPr>
            </w:pPr>
          </w:p>
        </w:tc>
      </w:tr>
      <w:tr>
        <w:trPr>
          <w:trHeight w:val="831"/>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30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640" w:type="dxa"/>
            <w:vAlign w:val="bottom"/>
          </w:tcPr>
          <w:p>
            <w:pPr>
              <w:spacing w:after="0"/>
              <w:rPr>
                <w:sz w:val="24"/>
                <w:szCs w:val="24"/>
                <w:color w:val="auto"/>
              </w:rPr>
            </w:pPr>
          </w:p>
        </w:tc>
      </w:tr>
      <w:tr>
        <w:trPr>
          <w:trHeight w:val="418"/>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9"/>
        </w:trPr>
        <w:tc>
          <w:tcPr>
            <w:tcW w:w="40" w:type="dxa"/>
            <w:vAlign w:val="bottom"/>
          </w:tcPr>
          <w:p>
            <w:pPr>
              <w:spacing w:after="0"/>
              <w:rPr>
                <w:sz w:val="24"/>
                <w:szCs w:val="24"/>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40" w:type="dxa"/>
            <w:vAlign w:val="bottom"/>
          </w:tcPr>
          <w:p>
            <w:pPr>
              <w:spacing w:after="0"/>
              <w:rPr>
                <w:sz w:val="21"/>
                <w:szCs w:val="21"/>
                <w:color w:val="auto"/>
              </w:rPr>
            </w:pPr>
          </w:p>
        </w:tc>
        <w:tc>
          <w:tcPr>
            <w:tcW w:w="29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0" w:type="dxa"/>
            <w:vAlign w:val="bottom"/>
            <w:tcBorders>
              <w:top w:val="single" w:sz="8" w:color="0000EE"/>
            </w:tcBorders>
          </w:tcPr>
          <w:p>
            <w:pPr>
              <w:spacing w:after="0"/>
              <w:rPr>
                <w:sz w:val="21"/>
                <w:szCs w:val="21"/>
                <w:color w:val="auto"/>
              </w:rPr>
            </w:pPr>
          </w:p>
        </w:tc>
        <w:tc>
          <w:tcPr>
            <w:tcW w:w="6580" w:type="dxa"/>
            <w:vAlign w:val="bottom"/>
            <w:gridSpan w:val="8"/>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40" w:type="dxa"/>
            <w:vAlign w:val="bottom"/>
          </w:tcPr>
          <w:p>
            <w:pPr>
              <w:spacing w:after="0"/>
              <w:rPr>
                <w:sz w:val="21"/>
                <w:szCs w:val="21"/>
                <w:color w:val="auto"/>
              </w:rPr>
            </w:pPr>
          </w:p>
        </w:tc>
        <w:tc>
          <w:tcPr>
            <w:tcW w:w="5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w:t>
            </w:r>
          </w:p>
        </w:tc>
        <w:tc>
          <w:tcPr>
            <w:tcW w:w="4460" w:type="dxa"/>
            <w:vAlign w:val="bottom"/>
            <w:gridSpan w:val="3"/>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0" w:type="dxa"/>
            <w:vAlign w:val="bottom"/>
          </w:tcPr>
          <w:p>
            <w:pPr>
              <w:spacing w:after="0"/>
              <w:rPr>
                <w:sz w:val="21"/>
                <w:szCs w:val="21"/>
                <w:color w:val="auto"/>
              </w:rPr>
            </w:pPr>
          </w:p>
        </w:tc>
        <w:tc>
          <w:tcPr>
            <w:tcW w:w="82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Shareholders’ Equity and Redeemable Non-controlling Interest</w:t>
            </w:r>
          </w:p>
        </w:tc>
        <w:tc>
          <w:tcPr>
            <w:tcW w:w="1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40" w:type="dxa"/>
            <w:vAlign w:val="bottom"/>
          </w:tcPr>
          <w:p>
            <w:pPr>
              <w:spacing w:after="0"/>
              <w:rPr>
                <w:sz w:val="21"/>
                <w:szCs w:val="21"/>
                <w:color w:val="auto"/>
              </w:rPr>
            </w:pPr>
          </w:p>
        </w:tc>
        <w:tc>
          <w:tcPr>
            <w:tcW w:w="37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5840" w:type="dxa"/>
            <w:vAlign w:val="bottom"/>
            <w:gridSpan w:val="7"/>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50"/>
        </w:trPr>
        <w:tc>
          <w:tcPr>
            <w:tcW w:w="40" w:type="dxa"/>
            <w:vAlign w:val="bottom"/>
          </w:tcPr>
          <w:p>
            <w:pPr>
              <w:spacing w:after="0"/>
              <w:rPr>
                <w:sz w:val="21"/>
                <w:szCs w:val="21"/>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50"/>
        </w:trPr>
        <w:tc>
          <w:tcPr>
            <w:tcW w:w="40" w:type="dxa"/>
            <w:vAlign w:val="bottom"/>
          </w:tcPr>
          <w:p>
            <w:pPr>
              <w:spacing w:after="0"/>
              <w:rPr>
                <w:sz w:val="21"/>
                <w:szCs w:val="21"/>
                <w:color w:val="auto"/>
              </w:rPr>
            </w:pPr>
          </w:p>
        </w:tc>
        <w:tc>
          <w:tcPr>
            <w:tcW w:w="490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Item 3.  Quantitative and Qualitative Disclosure About Market Risk</w:t>
            </w:r>
          </w:p>
        </w:tc>
        <w:tc>
          <w:tcPr>
            <w:tcW w:w="2160" w:type="dxa"/>
            <w:vAlign w:val="bottom"/>
            <w:tcBorders>
              <w:top w:val="single" w:sz="8" w:color="0000EE"/>
            </w:tcBorders>
            <w:gridSpan w:val="3"/>
          </w:tcPr>
          <w:p>
            <w:pPr>
              <w:spacing w:after="0"/>
              <w:rPr>
                <w:sz w:val="21"/>
                <w:szCs w:val="21"/>
                <w:color w:val="auto"/>
              </w:rPr>
            </w:pPr>
          </w:p>
        </w:tc>
        <w:tc>
          <w:tcPr>
            <w:tcW w:w="2500" w:type="dxa"/>
            <w:vAlign w:val="bottom"/>
            <w:gridSpan w:val="2"/>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40" w:type="dxa"/>
            <w:vAlign w:val="bottom"/>
          </w:tcPr>
          <w:p>
            <w:pPr>
              <w:spacing w:after="0"/>
              <w:rPr>
                <w:sz w:val="21"/>
                <w:szCs w:val="21"/>
                <w:color w:val="auto"/>
              </w:rPr>
            </w:pPr>
          </w:p>
        </w:tc>
        <w:tc>
          <w:tcPr>
            <w:tcW w:w="23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Item 4.  Controls and Procedures</w:t>
            </w:r>
          </w:p>
        </w:tc>
        <w:tc>
          <w:tcPr>
            <w:tcW w:w="7180" w:type="dxa"/>
            <w:vAlign w:val="bottom"/>
            <w:gridSpan w:val="11"/>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0"/>
        </w:trPr>
        <w:tc>
          <w:tcPr>
            <w:tcW w:w="40" w:type="dxa"/>
            <w:vAlign w:val="bottom"/>
          </w:tcPr>
          <w:p>
            <w:pPr>
              <w:spacing w:after="0"/>
              <w:rPr>
                <w:sz w:val="21"/>
                <w:szCs w:val="21"/>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PART II</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0"/>
        </w:trPr>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94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6"/>
              </w:rPr>
              <w:t>Item 1.  Legal Proceedings</w:t>
            </w:r>
          </w:p>
        </w:tc>
        <w:tc>
          <w:tcPr>
            <w:tcW w:w="7620" w:type="dxa"/>
            <w:vAlign w:val="bottom"/>
            <w:gridSpan w:val="12"/>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40" w:type="dxa"/>
            <w:vAlign w:val="bottom"/>
          </w:tcPr>
          <w:p>
            <w:pPr>
              <w:spacing w:after="0"/>
              <w:rPr>
                <w:sz w:val="21"/>
                <w:szCs w:val="21"/>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1A.  Risk Factors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40" w:type="dxa"/>
            <w:vAlign w:val="bottom"/>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9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Item 2.  Unregistered Sales of Equity Securities and Use of Proceeds</w:t>
            </w:r>
          </w:p>
        </w:tc>
        <w:tc>
          <w:tcPr>
            <w:tcW w:w="4600" w:type="dxa"/>
            <w:vAlign w:val="bottom"/>
            <w:gridSpan w:val="4"/>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40" w:type="dxa"/>
            <w:vAlign w:val="bottom"/>
          </w:tcPr>
          <w:p>
            <w:pPr>
              <w:spacing w:after="0"/>
              <w:rPr>
                <w:sz w:val="21"/>
                <w:szCs w:val="21"/>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3.  Defaults Upon Senior Securities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50"/>
        </w:trPr>
        <w:tc>
          <w:tcPr>
            <w:tcW w:w="40" w:type="dxa"/>
            <w:vAlign w:val="bottom"/>
          </w:tcPr>
          <w:p>
            <w:pPr>
              <w:spacing w:after="0"/>
              <w:rPr>
                <w:sz w:val="21"/>
                <w:szCs w:val="21"/>
                <w:color w:val="auto"/>
              </w:rPr>
            </w:pPr>
          </w:p>
        </w:tc>
        <w:tc>
          <w:tcPr>
            <w:tcW w:w="23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Item 4.  Mine Safety Disclosures</w:t>
            </w:r>
          </w:p>
        </w:tc>
        <w:tc>
          <w:tcPr>
            <w:tcW w:w="540" w:type="dxa"/>
            <w:vAlign w:val="bottom"/>
            <w:tcBorders>
              <w:top w:val="single" w:sz="8" w:color="0000EE"/>
            </w:tcBorders>
          </w:tcPr>
          <w:p>
            <w:pPr>
              <w:spacing w:after="0"/>
              <w:rPr>
                <w:sz w:val="21"/>
                <w:szCs w:val="21"/>
                <w:color w:val="auto"/>
              </w:rPr>
            </w:pPr>
          </w:p>
        </w:tc>
        <w:tc>
          <w:tcPr>
            <w:tcW w:w="6640" w:type="dxa"/>
            <w:vAlign w:val="bottom"/>
            <w:gridSpan w:val="10"/>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40" w:type="dxa"/>
            <w:vAlign w:val="bottom"/>
          </w:tcPr>
          <w:p>
            <w:pPr>
              <w:spacing w:after="0"/>
              <w:rPr>
                <w:sz w:val="21"/>
                <w:szCs w:val="21"/>
                <w:color w:val="auto"/>
              </w:rPr>
            </w:pPr>
          </w:p>
        </w:tc>
        <w:tc>
          <w:tcPr>
            <w:tcW w:w="19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Item 5.  Other Information</w:t>
            </w:r>
          </w:p>
        </w:tc>
        <w:tc>
          <w:tcPr>
            <w:tcW w:w="7640" w:type="dxa"/>
            <w:vAlign w:val="bottom"/>
            <w:gridSpan w:val="13"/>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50"/>
        </w:trPr>
        <w:tc>
          <w:tcPr>
            <w:tcW w:w="40" w:type="dxa"/>
            <w:vAlign w:val="bottom"/>
          </w:tcPr>
          <w:p>
            <w:pPr>
              <w:spacing w:after="0"/>
              <w:rPr>
                <w:sz w:val="21"/>
                <w:szCs w:val="21"/>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0"/>
        </w:trPr>
        <w:tc>
          <w:tcPr>
            <w:tcW w:w="40" w:type="dxa"/>
            <w:vAlign w:val="bottom"/>
          </w:tcPr>
          <w:p>
            <w:pPr>
              <w:spacing w:after="0"/>
              <w:rPr>
                <w:sz w:val="21"/>
                <w:szCs w:val="21"/>
                <w:color w:val="auto"/>
              </w:rPr>
            </w:pPr>
          </w:p>
        </w:tc>
        <w:tc>
          <w:tcPr>
            <w:tcW w:w="1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8360" w:type="dxa"/>
            <w:vAlign w:val="bottom"/>
            <w:gridSpan w:val="16"/>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the terms “Flutter,” the “Company,” the “Group,” “we,” “us” and “our” each refer to Flutter Entertainment plc and its subsidiaries.</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statements reflect our current expectations as to future events based on certain assumptions and include any statement that does not directly relate to any historical or current fact. These statements include, but are not limited to, statements related to our expectations regarding the performance of our business, our financial results, our operations, our liquidity and capital resources, the conditions in our industry and our growth strategy (including our plans and expectations related to new product offerings). In some cases, forward-looking statements can be identified by words such as “outlook,” “believe(s),” ”expect(s),” “potential,” “continue(s),” “may,” “will,” “should,” “could,” “would,” “seek(s),” “predict(s),” “intend(s),” “trends,” “plan(s),” “estimate(s),” “anticipates,” “projection,” “goal,” “target,” “aspire,” “will likely result,” and other words and terms of similar meaning or the negative versions of such words. These forward-looking statements are subject to risks and uncertainties. Accordingly, there are or will be important factors that could cause actual outcomes or results to differ materially from those indicated in these statements. These factors include, among others:</w:t>
      </w:r>
    </w:p>
    <w:p>
      <w:pPr>
        <w:spacing w:after="0" w:line="85" w:lineRule="exact"/>
        <w:rPr>
          <w:sz w:val="20"/>
          <w:szCs w:val="20"/>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effectively compete in, and market trends impacting, the global entertainment and gaming industries;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to, and uncertainty regarding, the regulation (including taxation) of online betting, iGaming and adjacent industries;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retain existing customers and to successfully acquire new customers;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accurately determine the odds in relation to any particular event exposes us to trading, liability management and pricing risk;</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win rates, jackpot payouts and the scheduling of major sporting events;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successfully develop new products, expand offerings and invest in products and technology;</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successfully acquire and integrate new businesses;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maintain relationships with third-parties;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sentiment towards online betting and iGaming generally;</w:t>
      </w:r>
    </w:p>
    <w:p>
      <w:pPr>
        <w:spacing w:after="0" w:line="117" w:lineRule="exact"/>
        <w:rPr>
          <w:rFonts w:ascii="Times New Roman" w:cs="Times New Roman" w:eastAsia="Times New Roman" w:hAnsi="Times New Roman"/>
          <w:sz w:val="18"/>
          <w:szCs w:val="18"/>
          <w:color w:val="auto"/>
        </w:rPr>
      </w:pPr>
    </w:p>
    <w:p>
      <w:pPr>
        <w:jc w:val="both"/>
        <w:ind w:left="500" w:right="40" w:hanging="330"/>
        <w:spacing w:after="0" w:line="266"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economic conditions, including recessions, economic slowdowns, inflation, rising energy prices, tariffs and/or trade disputes, fluctuating interest rates and instability in the banking system, on Flutter’s liquidity, operations and personnel and ability to raise financing in future;</w:t>
      </w:r>
    </w:p>
    <w:p>
      <w:pPr>
        <w:spacing w:after="0" w:line="6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disruptions to Flutter’s proprietary or third-party technology or information systems;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obtain and maintain licenses with gaming authorities;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additional jurisdictions to legalize and regulate online betting and iGaming;</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comply with complex, varied and evolving U.S. and international laws and regulations relating to its business;</w:t>
      </w:r>
    </w:p>
    <w:p>
      <w:pPr>
        <w:spacing w:after="0" w:line="117" w:lineRule="exact"/>
        <w:rPr>
          <w:rFonts w:ascii="Times New Roman" w:cs="Times New Roman" w:eastAsia="Times New Roman" w:hAnsi="Times New Roman"/>
          <w:sz w:val="18"/>
          <w:szCs w:val="18"/>
          <w:color w:val="auto"/>
        </w:rPr>
      </w:pPr>
    </w:p>
    <w:p>
      <w:pPr>
        <w:ind w:left="50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legal and regulatory treatment of prediction markets and its impact on Flutter’s prediction markets strategy, products and market making activities;</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Flutter’s restructuring and cost transformation programs (including expected cost savings);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retain or recruit officers, key employees or directors;</w:t>
      </w:r>
    </w:p>
    <w:p>
      <w:pPr>
        <w:spacing w:after="0" w:line="117" w:lineRule="exact"/>
        <w:rPr>
          <w:rFonts w:ascii="Times New Roman" w:cs="Times New Roman" w:eastAsia="Times New Roman" w:hAnsi="Times New Roman"/>
          <w:sz w:val="18"/>
          <w:szCs w:val="18"/>
          <w:color w:val="auto"/>
        </w:rPr>
      </w:pPr>
    </w:p>
    <w:p>
      <w:pPr>
        <w:ind w:left="500" w:right="38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adequately plan for succession and effectively manage leadership transitions, including changes in its executive management team;</w:t>
      </w:r>
    </w:p>
    <w:p>
      <w:pPr>
        <w:spacing w:after="0" w:line="53"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effectively manage artificial intelligence, machine learning, and related technologies in its operations;</w:t>
      </w:r>
    </w:p>
    <w:p>
      <w:pPr>
        <w:spacing w:after="0" w:line="117" w:lineRule="exact"/>
        <w:rPr>
          <w:rFonts w:ascii="Times New Roman" w:cs="Times New Roman" w:eastAsia="Times New Roman" w:hAnsi="Times New Roman"/>
          <w:sz w:val="18"/>
          <w:szCs w:val="18"/>
          <w:color w:val="auto"/>
        </w:rPr>
      </w:pPr>
    </w:p>
    <w:p>
      <w:pPr>
        <w:ind w:left="500" w:right="140" w:hanging="330"/>
        <w:spacing w:after="0" w:line="282" w:lineRule="auto"/>
        <w:tabs>
          <w:tab w:leader="none" w:pos="4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level of indebtedness, including its ability to refinance or incur additional debt, and the impact of related covenants and market conditions on its strategy and financial flexibility;</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outcomes in litigation or tax disputes;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adequately protect Flutter’s intellectual property rights;</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data security breaches or cyber-attacks on Flutter’s systems; and</w:t>
      </w:r>
    </w:p>
    <w:p>
      <w:pPr>
        <w:spacing w:after="0" w:line="117" w:lineRule="exact"/>
        <w:rPr>
          <w:rFonts w:ascii="Times New Roman" w:cs="Times New Roman" w:eastAsia="Times New Roman" w:hAnsi="Times New Roman"/>
          <w:sz w:val="18"/>
          <w:szCs w:val="18"/>
          <w:color w:val="auto"/>
        </w:rPr>
      </w:pPr>
    </w:p>
    <w:p>
      <w:pPr>
        <w:ind w:left="480" w:hanging="310"/>
        <w:spacing w:after="0"/>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Flutter’s ability to prevent and remediate material weaknesses in its internal control over financial reporting.</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Additional factors that could cause the Company’s results to differ materially from those described in the forward-looking statements can be found in Part I, “Item 1A. Risk Factors” of the Company’s Annual Report on Form 10-K for the fiscal year ended December 31, 2025 as filed with the Securities and Exchange Commission (the “SEC”) on February 26, 2026, in Part II, “Item 1A. Risk Factors” in this Quarterly Report on Form 10-Q and other periodic filings with the SEC, which are accessible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the Company’s filings with the SEC. The Company undertakes no obligation to publicly update or revise any forward-looking statement, whether as a result of new information, future developments or otherwise, except as required by law.</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Website and Social Media Disclosure</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use our website (</w:t>
      </w:r>
      <w:r>
        <w:rPr>
          <w:rFonts w:ascii="Times New Roman" w:cs="Times New Roman" w:eastAsia="Times New Roman" w:hAnsi="Times New Roman"/>
          <w:sz w:val="18"/>
          <w:szCs w:val="18"/>
          <w:i w:val="1"/>
          <w:iCs w:val="1"/>
          <w:color w:val="auto"/>
        </w:rPr>
        <w:t>www.flutter.com</w:t>
      </w:r>
      <w:r>
        <w:rPr>
          <w:rFonts w:ascii="Times New Roman" w:cs="Times New Roman" w:eastAsia="Times New Roman" w:hAnsi="Times New Roman"/>
          <w:sz w:val="18"/>
          <w:szCs w:val="18"/>
          <w:color w:val="auto"/>
        </w:rPr>
        <w:t xml:space="preserve">) and at times our corporate X account </w:t>
      </w:r>
      <w:r>
        <w:rPr>
          <w:rFonts w:ascii="Times New Roman" w:cs="Times New Roman" w:eastAsia="Times New Roman" w:hAnsi="Times New Roman"/>
          <w:sz w:val="18"/>
          <w:szCs w:val="18"/>
          <w:i w:val="1"/>
          <w:iCs w:val="1"/>
          <w:color w:val="auto"/>
        </w:rPr>
        <w:t>(@FlutterEnt</w:t>
      </w:r>
      <w:r>
        <w:rPr>
          <w:rFonts w:ascii="Times New Roman" w:cs="Times New Roman" w:eastAsia="Times New Roman" w:hAnsi="Times New Roman"/>
          <w:sz w:val="18"/>
          <w:szCs w:val="18"/>
          <w:color w:val="auto"/>
        </w:rPr>
        <w:t>) and LinkedIn (</w:t>
      </w:r>
      <w:r>
        <w:rPr>
          <w:rFonts w:ascii="Times New Roman" w:cs="Times New Roman" w:eastAsia="Times New Roman" w:hAnsi="Times New Roman"/>
          <w:sz w:val="18"/>
          <w:szCs w:val="18"/>
          <w:i w:val="1"/>
          <w:iCs w:val="1"/>
          <w:color w:val="auto"/>
        </w:rPr>
        <w:t>https://www.linkedin.com/company/flutter-entertainment</w:t>
      </w:r>
      <w:r>
        <w:rPr>
          <w:rFonts w:ascii="Times New Roman" w:cs="Times New Roman" w:eastAsia="Times New Roman" w:hAnsi="Times New Roman"/>
          <w:sz w:val="18"/>
          <w:szCs w:val="18"/>
          <w:color w:val="auto"/>
        </w:rPr>
        <w:t>) as well as other social media channels to distribute company information. The information we post through these channels may be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Accordingly, investors should monitor these channels, in addition to following our press releases, SEC filings and public conference calls and webcasts. The contents of our website and social media channels are not, however, a part of this Quarterly Report on Form 10-Q (the “Quarterly Report”).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831"/>
        </w:trPr>
        <w:tc>
          <w:tcPr>
            <w:tcW w:w="1360" w:type="dxa"/>
            <w:vAlign w:val="bottom"/>
            <w:tcBorders>
              <w:top w:val="single" w:sz="8" w:color="0000EE"/>
            </w:tcBorders>
          </w:tcPr>
          <w:p>
            <w:pPr>
              <w:spacing w:after="0"/>
              <w:rPr>
                <w:sz w:val="24"/>
                <w:szCs w:val="24"/>
                <w:color w:val="auto"/>
              </w:rPr>
            </w:pPr>
          </w:p>
        </w:tc>
        <w:tc>
          <w:tcPr>
            <w:tcW w:w="6680" w:type="dxa"/>
            <w:vAlign w:val="bottom"/>
          </w:tcPr>
          <w:p>
            <w:pPr>
              <w:ind w:left="398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8"/>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02"/>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8"/>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 except share and per share amounts)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3"/>
        </w:trPr>
        <w:tc>
          <w:tcPr>
            <w:tcW w:w="136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As of</w:t>
            </w:r>
          </w:p>
        </w:tc>
        <w:tc>
          <w:tcPr>
            <w:tcW w:w="180" w:type="dxa"/>
            <w:vAlign w:val="bottom"/>
          </w:tcPr>
          <w:p>
            <w:pPr>
              <w:spacing w:after="0"/>
              <w:rPr>
                <w:sz w:val="17"/>
                <w:szCs w:val="17"/>
                <w:color w:val="auto"/>
              </w:rPr>
            </w:pPr>
          </w:p>
        </w:tc>
        <w:tc>
          <w:tcPr>
            <w:tcW w:w="1340" w:type="dxa"/>
            <w:vAlign w:val="bottom"/>
          </w:tcPr>
          <w:p>
            <w:pPr>
              <w:jc w:val="center"/>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As of</w:t>
            </w:r>
          </w:p>
        </w:tc>
      </w:tr>
      <w:tr>
        <w:trPr>
          <w:trHeight w:val="180"/>
        </w:trPr>
        <w:tc>
          <w:tcPr>
            <w:tcW w:w="1360" w:type="dxa"/>
            <w:vAlign w:val="bottom"/>
          </w:tcPr>
          <w:p>
            <w:pPr>
              <w:spacing w:after="0"/>
              <w:rPr>
                <w:sz w:val="15"/>
                <w:szCs w:val="15"/>
                <w:color w:val="auto"/>
              </w:rPr>
            </w:pPr>
          </w:p>
        </w:tc>
        <w:tc>
          <w:tcPr>
            <w:tcW w:w="6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15"/>
                <w:szCs w:val="15"/>
                <w:color w:val="auto"/>
              </w:rPr>
            </w:pPr>
          </w:p>
        </w:tc>
        <w:tc>
          <w:tcPr>
            <w:tcW w:w="134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360" w:type="dxa"/>
            <w:vAlign w:val="bottom"/>
            <w:tcBorders>
              <w:bottom w:val="single" w:sz="8" w:color="CCEEFF"/>
            </w:tcBorders>
          </w:tcPr>
          <w:p>
            <w:pPr>
              <w:spacing w:after="0"/>
              <w:rPr>
                <w:sz w:val="21"/>
                <w:szCs w:val="21"/>
                <w:color w:val="auto"/>
              </w:rPr>
            </w:pPr>
          </w:p>
        </w:tc>
        <w:tc>
          <w:tcPr>
            <w:tcW w:w="66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5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7"/>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63"/>
        </w:trPr>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Cash and cash equivalents – restricted</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7"/>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Player deposits – cash and cash equivalents</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r>
      <w:tr>
        <w:trPr>
          <w:trHeight w:val="263"/>
        </w:trPr>
        <w:tc>
          <w:tcPr>
            <w:tcW w:w="8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Player deposits – investments</w:t>
            </w:r>
          </w:p>
        </w:tc>
        <w:tc>
          <w:tcPr>
            <w:tcW w:w="160" w:type="dxa"/>
            <w:vAlign w:val="bottom"/>
          </w:tcPr>
          <w:p>
            <w:pPr>
              <w:spacing w:after="0"/>
              <w:rPr>
                <w:sz w:val="22"/>
                <w:szCs w:val="22"/>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7"/>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63"/>
        </w:trPr>
        <w:tc>
          <w:tcPr>
            <w:tcW w:w="80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4,796</w:t>
            </w:r>
          </w:p>
        </w:tc>
      </w:tr>
      <w:tr>
        <w:trPr>
          <w:trHeight w:val="263"/>
        </w:trPr>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7"/>
        </w:trPr>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63"/>
        </w:trPr>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77"/>
        </w:trPr>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5,952</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w:t>
            </w:r>
          </w:p>
        </w:tc>
      </w:tr>
      <w:tr>
        <w:trPr>
          <w:trHeight w:val="263"/>
        </w:trPr>
        <w:tc>
          <w:tcPr>
            <w:tcW w:w="80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15,825</w:t>
            </w:r>
          </w:p>
        </w:tc>
      </w:tr>
      <w:tr>
        <w:trPr>
          <w:trHeight w:val="277"/>
        </w:trPr>
        <w:tc>
          <w:tcPr>
            <w:tcW w:w="8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63"/>
        </w:trPr>
        <w:tc>
          <w:tcPr>
            <w:tcW w:w="804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27,434</w:t>
            </w: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29,280</w:t>
            </w:r>
          </w:p>
        </w:tc>
      </w:tr>
      <w:tr>
        <w:trPr>
          <w:trHeight w:val="201"/>
        </w:trPr>
        <w:tc>
          <w:tcPr>
            <w:tcW w:w="8040" w:type="dxa"/>
            <w:vAlign w:val="bottom"/>
            <w:gridSpan w:val="2"/>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LIABILITIES, REDEEMABLE NON-CONTROLLING INTERESTS AND SHAREHOLDERS’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8"/>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80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3"/>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77"/>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Player deposit liability</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r>
      <w:tr>
        <w:trPr>
          <w:trHeight w:val="263"/>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7"/>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64"/>
        </w:trPr>
        <w:tc>
          <w:tcPr>
            <w:tcW w:w="80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w:t>
            </w:r>
          </w:p>
        </w:tc>
      </w:tr>
      <w:tr>
        <w:trPr>
          <w:trHeight w:val="270"/>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5,415</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5,043</w:t>
            </w:r>
          </w:p>
        </w:tc>
      </w:tr>
      <w:tr>
        <w:trPr>
          <w:trHeight w:val="263"/>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77"/>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12,157</w:t>
            </w:r>
          </w:p>
        </w:tc>
      </w:tr>
      <w:tr>
        <w:trPr>
          <w:trHeight w:val="263"/>
        </w:trPr>
        <w:tc>
          <w:tcPr>
            <w:tcW w:w="80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77"/>
        </w:trPr>
        <w:tc>
          <w:tcPr>
            <w:tcW w:w="80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57"/>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19,166</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19,582</w:t>
            </w:r>
          </w:p>
        </w:tc>
      </w:tr>
      <w:tr>
        <w:trPr>
          <w:trHeight w:val="25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17)</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63"/>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w:t>
            </w:r>
          </w:p>
        </w:tc>
      </w:tr>
      <w:tr>
        <w:trPr>
          <w:trHeight w:val="27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25"/>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Ordinary shares (Authorized 300,000,000 shares of €0.09 (September 30, 2026: $0.10; December 31, 2025:</w:t>
            </w: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$0.11) par value each; issued September 30, 2026: 173,820,519 shares; December 31, 2025: 175,224,066</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1"/>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7"/>
        </w:trPr>
        <w:tc>
          <w:tcPr>
            <w:tcW w:w="8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r>
      <w:tr>
        <w:trPr>
          <w:trHeight w:val="263"/>
        </w:trPr>
        <w:tc>
          <w:tcPr>
            <w:tcW w:w="80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r>
      <w:tr>
        <w:trPr>
          <w:trHeight w:val="277"/>
        </w:trPr>
        <w:tc>
          <w:tcPr>
            <w:tcW w:w="8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w:t>
            </w:r>
          </w:p>
        </w:tc>
      </w:tr>
      <w:tr>
        <w:trPr>
          <w:trHeight w:val="257"/>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Flutter Shareholders’ Equity</w:t>
            </w:r>
          </w:p>
        </w:tc>
        <w:tc>
          <w:tcPr>
            <w:tcW w:w="1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7,922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9,038</w:t>
            </w:r>
          </w:p>
        </w:tc>
      </w:tr>
      <w:tr>
        <w:trPr>
          <w:trHeight w:val="277"/>
        </w:trPr>
        <w:tc>
          <w:tcPr>
            <w:tcW w:w="80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57"/>
        </w:trPr>
        <w:tc>
          <w:tcPr>
            <w:tcW w:w="8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8,156</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9,274</w:t>
            </w:r>
          </w:p>
        </w:tc>
      </w:tr>
      <w:tr>
        <w:trPr>
          <w:trHeight w:val="207"/>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NON-CONTROLLING INTERESTS AND</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59"/>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27,434</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29,280</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160"/>
          </w:cols>
          <w:pgMar w:left="320" w:top="108" w:right="419" w:bottom="1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06"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95"/>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8"/>
        </w:trPr>
        <w:tc>
          <w:tcPr>
            <w:tcW w:w="75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 except share and per share amounts)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03"/>
        </w:trPr>
        <w:tc>
          <w:tcPr>
            <w:tcW w:w="13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80" w:type="dxa"/>
            <w:vAlign w:val="bottom"/>
            <w:gridSpan w:val="4"/>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60" w:type="dxa"/>
            <w:vAlign w:val="bottom"/>
            <w:gridSpan w:val="5"/>
          </w:tcPr>
          <w:p>
            <w:pPr>
              <w:jc w:val="right"/>
              <w:ind w:right="710"/>
              <w:spacing w:after="0" w:line="202" w:lineRule="exact"/>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1360" w:type="dxa"/>
            <w:vAlign w:val="bottom"/>
            <w:tcBorders>
              <w:bottom w:val="single" w:sz="8" w:color="CCEEFF"/>
            </w:tcBorders>
          </w:tcPr>
          <w:p>
            <w:pPr>
              <w:spacing w:after="0"/>
              <w:rPr>
                <w:sz w:val="20"/>
                <w:szCs w:val="20"/>
                <w:color w:val="auto"/>
              </w:rPr>
            </w:pPr>
          </w:p>
        </w:tc>
        <w:tc>
          <w:tcPr>
            <w:tcW w:w="3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66"/>
        </w:trPr>
        <w:tc>
          <w:tcPr>
            <w:tcW w:w="1360" w:type="dxa"/>
            <w:vAlign w:val="bottom"/>
            <w:shd w:val="clear" w:color="auto" w:fill="CCEEFF"/>
          </w:tcPr>
          <w:p>
            <w:pPr>
              <w:spacing w:after="0"/>
              <w:rPr>
                <w:sz w:val="23"/>
                <w:szCs w:val="23"/>
                <w:color w:val="auto"/>
              </w:rPr>
            </w:pPr>
          </w:p>
        </w:tc>
        <w:tc>
          <w:tcPr>
            <w:tcW w:w="3460" w:type="dxa"/>
            <w:vAlign w:val="bottom"/>
            <w:shd w:val="clear" w:color="auto" w:fill="CCEEFF"/>
          </w:tcPr>
          <w:p>
            <w:pPr>
              <w:spacing w:after="0"/>
              <w:rPr>
                <w:sz w:val="23"/>
                <w:szCs w:val="23"/>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80" w:type="dxa"/>
            <w:vAlign w:val="bottom"/>
          </w:tcPr>
          <w:p>
            <w:pPr>
              <w:spacing w:after="0"/>
              <w:rPr>
                <w:sz w:val="22"/>
                <w:szCs w:val="22"/>
                <w:color w:val="auto"/>
              </w:rPr>
            </w:pPr>
          </w:p>
        </w:tc>
        <w:tc>
          <w:tcPr>
            <w:tcW w:w="9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r>
      <w:tr>
        <w:trPr>
          <w:trHeight w:val="270"/>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(2,168)</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(6,352)</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1,518</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5,068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5,294</w:t>
            </w:r>
          </w:p>
        </w:tc>
      </w:tr>
      <w:tr>
        <w:trPr>
          <w:trHeight w:val="277"/>
        </w:trPr>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research and development expenses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63"/>
        </w:trPr>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r>
      <w:tr>
        <w:trPr>
          <w:trHeight w:val="277"/>
        </w:trPr>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63"/>
        </w:trPr>
        <w:tc>
          <w:tcPr>
            <w:tcW w:w="48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Goodwill impairment</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70"/>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(1,191)</w:t>
            </w:r>
          </w:p>
        </w:tc>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w:t>
            </w:r>
          </w:p>
        </w:tc>
      </w:tr>
      <w:tr>
        <w:trPr>
          <w:trHeight w:val="263"/>
        </w:trPr>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70"/>
        </w:trPr>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r>
      <w:tr>
        <w:trPr>
          <w:trHeight w:val="270"/>
        </w:trPr>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63"/>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(1,148)</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(1,235)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r>
      <w:tr>
        <w:trPr>
          <w:trHeight w:val="211"/>
        </w:trPr>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attributable to non-controlling interests and</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48"/>
        </w:trPr>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Adjustment of redeemable non-controlling interest to</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1"/>
        </w:trPr>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redemption value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77"/>
        </w:trPr>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attributable to Flutter shareholders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6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share</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48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63"/>
        </w:trPr>
        <w:tc>
          <w:tcPr>
            <w:tcW w:w="482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4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Effective portion of changes in fair value of cash flow hedges</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1"/>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Fair value of cash flow hedges transferred to the income</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8"/>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statement</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63"/>
        </w:trPr>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Changes in excluded components of fair value hedge</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7"/>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exchange gain (loss) on net investment hedges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5"/>
        </w:trPr>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exchange (loss) gain on translation of the net assets of</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1"/>
        </w:trPr>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foreign currency denominated entities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w:t>
            </w:r>
          </w:p>
        </w:tc>
      </w:tr>
      <w:tr>
        <w:trPr>
          <w:trHeight w:val="277"/>
        </w:trPr>
        <w:tc>
          <w:tcPr>
            <w:tcW w:w="4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Fair value movements on available for sale debt instruments</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0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r>
      <w:tr>
        <w:trPr>
          <w:trHeight w:val="231"/>
        </w:trPr>
        <w:tc>
          <w:tcPr>
            <w:tcW w:w="4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comprehensive income (loss) attributable to Flutter</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48"/>
        </w:trPr>
        <w:tc>
          <w:tcPr>
            <w:tcW w:w="4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shareholders</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25"/>
        </w:trPr>
        <w:tc>
          <w:tcPr>
            <w:tcW w:w="48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Other comprehensive (loss) income attributable to non-</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1"/>
        </w:trPr>
        <w:tc>
          <w:tcPr>
            <w:tcW w:w="482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controlling interest and redeemable non-controlling interest</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50"/>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p>
        </w:tc>
        <w:tc>
          <w:tcPr>
            <w:tcW w:w="9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(1,143)</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(933)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shd w:val="clear" w:color="auto" w:fill="CCEEFF"/>
              </w:rPr>
              <w:t>$</w:t>
            </w:r>
          </w:p>
        </w:tc>
        <w:tc>
          <w:tcPr>
            <w:tcW w:w="8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shd w:val="clear" w:color="auto" w:fill="CCEEFF"/>
              </w:rPr>
              <w:t>(1,353)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0"/>
        </w:trPr>
        <w:tc>
          <w:tcPr>
            <w:tcW w:w="13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right="1260"/>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AND REDEEMABLE NON-CONTROLLING INTERESTS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in millions except share amounts)</w:t>
      </w:r>
    </w:p>
    <w:p>
      <w:pPr>
        <w:spacing w:after="0" w:line="4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0" w:type="dxa"/>
            <w:vAlign w:val="bottom"/>
            <w:tcBorders>
              <w:top w:val="single" w:sz="8" w:color="CCEEFF"/>
            </w:tcBorders>
            <w:gridSpan w:val="3"/>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60" w:type="dxa"/>
            <w:vAlign w:val="bottom"/>
            <w:tcBorders>
              <w:top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 Flutter</w:t>
            </w: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Non-</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94"/>
        </w:trPr>
        <w:tc>
          <w:tcPr>
            <w:tcW w:w="21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20" w:type="dxa"/>
            <w:vAlign w:val="bottom"/>
            <w:gridSpan w:val="3"/>
            <w:vMerge w:val="restart"/>
            <w:shd w:val="clear" w:color="auto" w:fill="CCEEFF"/>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non-</w:t>
            </w:r>
          </w:p>
        </w:tc>
        <w:tc>
          <w:tcPr>
            <w:tcW w:w="9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4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other</w:t>
            </w:r>
          </w:p>
        </w:tc>
        <w:tc>
          <w:tcPr>
            <w:tcW w:w="800" w:type="dxa"/>
            <w:vAlign w:val="bottom"/>
            <w:gridSpan w:val="3"/>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1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920" w:type="dxa"/>
            <w:vAlign w:val="bottom"/>
            <w:gridSpan w:val="3"/>
            <w:vMerge w:val="continue"/>
            <w:shd w:val="clear" w:color="auto" w:fill="CCEEFF"/>
          </w:tcPr>
          <w:p>
            <w:pPr>
              <w:spacing w:after="0"/>
              <w:rPr>
                <w:sz w:val="7"/>
                <w:szCs w:val="7"/>
                <w:color w:val="auto"/>
              </w:rPr>
            </w:pPr>
          </w:p>
        </w:tc>
        <w:tc>
          <w:tcPr>
            <w:tcW w:w="1000" w:type="dxa"/>
            <w:vAlign w:val="bottom"/>
            <w:gridSpan w:val="2"/>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800" w:type="dxa"/>
            <w:vAlign w:val="bottom"/>
            <w:gridSpan w:val="3"/>
            <w:vMerge w:val="continue"/>
            <w:shd w:val="clear" w:color="auto" w:fill="CCEEFF"/>
          </w:tcPr>
          <w:p>
            <w:pPr>
              <w:spacing w:after="0"/>
              <w:rPr>
                <w:sz w:val="7"/>
                <w:szCs w:val="7"/>
                <w:color w:val="auto"/>
              </w:rPr>
            </w:pPr>
          </w:p>
        </w:tc>
        <w:tc>
          <w:tcPr>
            <w:tcW w:w="10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2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216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center"/>
              <w:ind w:right="140"/>
              <w:spacing w:after="0" w:line="178"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1000" w:type="dxa"/>
            <w:vAlign w:val="bottom"/>
            <w:gridSpan w:val="2"/>
            <w:vMerge w:val="continue"/>
            <w:shd w:val="clear" w:color="auto" w:fill="CCEEFF"/>
          </w:tcPr>
          <w:p>
            <w:pPr>
              <w:spacing w:after="0"/>
              <w:rPr>
                <w:sz w:val="15"/>
                <w:szCs w:val="15"/>
                <w:color w:val="auto"/>
              </w:rPr>
            </w:pPr>
          </w:p>
        </w:tc>
        <w:tc>
          <w:tcPr>
            <w:tcW w:w="74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80" w:type="dxa"/>
            <w:vAlign w:val="bottom"/>
            <w:gridSpan w:val="3"/>
            <w:shd w:val="clear" w:color="auto" w:fill="CCEEFF"/>
          </w:tcPr>
          <w:p>
            <w:pPr>
              <w:ind w:left="4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0" w:type="dxa"/>
            <w:vAlign w:val="bottom"/>
            <w:gridSpan w:val="3"/>
            <w:shd w:val="clear" w:color="auto" w:fill="CCEEFF"/>
          </w:tcPr>
          <w:p>
            <w:pPr>
              <w:jc w:val="center"/>
              <w:ind w:right="40"/>
              <w:spacing w:after="0" w:line="178"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060" w:type="dxa"/>
            <w:vAlign w:val="bottom"/>
            <w:gridSpan w:val="3"/>
            <w:vMerge w:val="continue"/>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
              <w:spacing w:after="0" w:line="178" w:lineRule="exact"/>
              <w:rPr>
                <w:sz w:val="20"/>
                <w:szCs w:val="20"/>
                <w:color w:val="auto"/>
              </w:rPr>
            </w:pPr>
            <w:r>
              <w:rPr>
                <w:rFonts w:ascii="Times New Roman" w:cs="Times New Roman" w:eastAsia="Times New Roman" w:hAnsi="Times New Roman"/>
                <w:sz w:val="16"/>
                <w:szCs w:val="16"/>
                <w:b w:val="1"/>
                <w:bCs w:val="1"/>
                <w:color w:val="auto"/>
                <w:w w:val="98"/>
              </w:rPr>
              <w:t>equity</w:t>
            </w: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176"/>
        </w:trPr>
        <w:tc>
          <w:tcPr>
            <w:tcW w:w="2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3"/>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center"/>
              <w:ind w:right="200"/>
              <w:spacing w:after="0" w:line="175" w:lineRule="exact"/>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216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20" w:type="dxa"/>
            <w:vAlign w:val="bottom"/>
            <w:tcBorders>
              <w:bottom w:val="single" w:sz="8" w:color="CCEEFF"/>
            </w:tcBorders>
            <w:gridSpan w:val="3"/>
            <w:vMerge w:val="continue"/>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4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gridSpan w:val="2"/>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5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21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424</w:t>
            </w:r>
          </w:p>
        </w:tc>
        <w:tc>
          <w:tcPr>
            <w:tcW w:w="100" w:type="dxa"/>
            <w:vAlign w:val="bottom"/>
            <w:tcBorders>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175,224,066</w:t>
            </w:r>
          </w:p>
        </w:tc>
        <w:tc>
          <w:tcPr>
            <w:tcW w:w="80" w:type="dxa"/>
            <w:vAlign w:val="bottom"/>
          </w:tcPr>
          <w:p>
            <w:pPr>
              <w:spacing w:after="0"/>
              <w:rPr>
                <w:sz w:val="15"/>
                <w:szCs w:val="15"/>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1,989</w:t>
            </w:r>
          </w:p>
        </w:tc>
        <w:tc>
          <w:tcPr>
            <w:tcW w:w="80" w:type="dxa"/>
            <w:vAlign w:val="bottom"/>
          </w:tcPr>
          <w:p>
            <w:pPr>
              <w:spacing w:after="0"/>
              <w:rPr>
                <w:sz w:val="15"/>
                <w:szCs w:val="15"/>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(1,111)</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8,124</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9,038</w:t>
            </w:r>
          </w:p>
        </w:tc>
        <w:tc>
          <w:tcPr>
            <w:tcW w:w="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236</w:t>
            </w: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9,274</w:t>
            </w:r>
          </w:p>
        </w:tc>
        <w:tc>
          <w:tcPr>
            <w:tcW w:w="8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 of redeemable non-</w:t>
            </w:r>
          </w:p>
        </w:tc>
        <w:tc>
          <w:tcPr>
            <w:tcW w:w="1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controlling interest to fair value</w:t>
            </w: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on exercise of</w:t>
            </w:r>
          </w:p>
        </w:tc>
        <w:tc>
          <w:tcPr>
            <w:tcW w:w="16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share options</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Equity-settled transactions –</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16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expense recorded in the income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statement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awards in equity</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16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(1,152,508)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distributed to non-</w:t>
            </w:r>
          </w:p>
        </w:tc>
        <w:tc>
          <w:tcPr>
            <w:tcW w:w="16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6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2026</w:t>
            </w: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417</w:t>
            </w:r>
          </w:p>
        </w:tc>
        <w:tc>
          <w:tcPr>
            <w:tcW w:w="100" w:type="dxa"/>
            <w:vAlign w:val="bottom"/>
            <w:tcBorders>
              <w:top w:val="single" w:sz="8" w:color="CCEEFF"/>
              <w:bottom w:val="single" w:sz="8" w:color="CCEEFF"/>
              <w:right w:val="single" w:sz="8" w:color="auto"/>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174,400,428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2,049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(1,252)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8,231</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9,064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228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9,292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640" w:type="dxa"/>
            <w:vAlign w:val="bottom"/>
            <w:tcBorders>
              <w:top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of redeemable non-</w:t>
            </w:r>
          </w:p>
        </w:tc>
        <w:tc>
          <w:tcPr>
            <w:tcW w:w="16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controlling interest to fair value</w:t>
            </w: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on exercise of</w:t>
            </w:r>
          </w:p>
        </w:tc>
        <w:tc>
          <w:tcPr>
            <w:tcW w:w="160" w:type="dxa"/>
            <w:vAlign w:val="bottom"/>
          </w:tcPr>
          <w:p>
            <w:pPr>
              <w:spacing w:after="0"/>
              <w:rPr>
                <w:sz w:val="17"/>
                <w:szCs w:val="17"/>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333,223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share options</w:t>
            </w: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Equity-settled transactions –</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expense recorded in the income</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statement</w:t>
            </w: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w:t>
            </w:r>
          </w:p>
        </w:tc>
        <w:tc>
          <w:tcPr>
            <w:tcW w:w="160" w:type="dxa"/>
            <w:vAlign w:val="bottom"/>
          </w:tcPr>
          <w:p>
            <w:pPr>
              <w:spacing w:after="0"/>
              <w:rPr>
                <w:sz w:val="17"/>
                <w:szCs w:val="17"/>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awards in equity</w:t>
            </w: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(1,252,519)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distributed to non-</w:t>
            </w:r>
          </w:p>
        </w:tc>
        <w:tc>
          <w:tcPr>
            <w:tcW w:w="160" w:type="dxa"/>
            <w:vAlign w:val="bottom"/>
          </w:tcPr>
          <w:p>
            <w:pPr>
              <w:spacing w:after="0"/>
              <w:rPr>
                <w:sz w:val="17"/>
                <w:szCs w:val="17"/>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6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w:t>
            </w:r>
          </w:p>
        </w:tc>
        <w:tc>
          <w:tcPr>
            <w:tcW w:w="16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1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2026</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377</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173,481,132</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2,127</w:t>
            </w: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(1,248)</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7,835</w:t>
            </w:r>
          </w:p>
        </w:tc>
        <w:tc>
          <w:tcPr>
            <w:tcW w:w="8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8,750</w:t>
            </w: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228</w:t>
            </w:r>
          </w:p>
        </w:tc>
        <w:tc>
          <w:tcPr>
            <w:tcW w:w="8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8,978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right="1100"/>
        <w:spacing w:after="0" w:line="258"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AND REDEEMABLE NON-CONTROLLING INTERESTS</w:t>
      </w:r>
    </w:p>
    <w:p>
      <w:pPr>
        <w:spacing w:after="0"/>
        <w:rPr>
          <w:sz w:val="20"/>
          <w:szCs w:val="20"/>
          <w:color w:val="auto"/>
        </w:rPr>
      </w:pPr>
      <w:r>
        <w:rPr>
          <w:rFonts w:ascii="Times New Roman" w:cs="Times New Roman" w:eastAsia="Times New Roman" w:hAnsi="Times New Roman"/>
          <w:sz w:val="18"/>
          <w:szCs w:val="18"/>
          <w:i w:val="1"/>
          <w:iCs w:val="1"/>
          <w:color w:val="auto"/>
        </w:rPr>
        <w:t>($ in millions except share amounts)</w:t>
      </w:r>
    </w:p>
    <w:p>
      <w:pPr>
        <w:spacing w:after="0" w:line="29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right w:val="single" w:sz="8" w:color="CCEEFF"/>
            </w:tcBorders>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gridSpan w:val="3"/>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0" w:type="dxa"/>
            <w:vAlign w:val="bottom"/>
            <w:tcBorders>
              <w:top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60" w:type="dxa"/>
            <w:vAlign w:val="bottom"/>
            <w:tcBorders>
              <w:top w:val="single" w:sz="8" w:color="CCEEFF"/>
            </w:tcBorders>
            <w:gridSpan w:val="3"/>
            <w:vMerge w:val="restart"/>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Total Flutter</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Non-</w:t>
            </w:r>
          </w:p>
        </w:tc>
        <w:tc>
          <w:tcPr>
            <w:tcW w:w="68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18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940" w:type="dxa"/>
            <w:vAlign w:val="bottom"/>
            <w:gridSpan w:val="3"/>
            <w:vMerge w:val="restart"/>
            <w:shd w:val="clear" w:color="auto" w:fill="CCEEFF"/>
          </w:tcPr>
          <w:p>
            <w:pPr>
              <w:jc w:val="center"/>
              <w:ind w:right="320"/>
              <w:spacing w:after="0" w:line="175" w:lineRule="exact"/>
              <w:rPr>
                <w:sz w:val="20"/>
                <w:szCs w:val="20"/>
                <w:color w:val="auto"/>
              </w:rPr>
            </w:pPr>
            <w:r>
              <w:rPr>
                <w:rFonts w:ascii="Times New Roman" w:cs="Times New Roman" w:eastAsia="Times New Roman" w:hAnsi="Times New Roman"/>
                <w:sz w:val="16"/>
                <w:szCs w:val="16"/>
                <w:b w:val="1"/>
                <w:bCs w:val="1"/>
                <w:color w:val="auto"/>
                <w:w w:val="96"/>
              </w:rPr>
              <w:t>non-</w:t>
            </w: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60" w:type="dxa"/>
            <w:vAlign w:val="bottom"/>
            <w:gridSpan w:val="2"/>
            <w:vMerge w:val="restart"/>
            <w:shd w:val="clear" w:color="auto" w:fill="CCEEFF"/>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800" w:type="dxa"/>
            <w:vAlign w:val="bottom"/>
            <w:gridSpan w:val="2"/>
            <w:vMerge w:val="continue"/>
            <w:shd w:val="clear" w:color="auto" w:fill="CCEEFF"/>
          </w:tcPr>
          <w:p>
            <w:pPr>
              <w:spacing w:after="0"/>
              <w:rPr>
                <w:sz w:val="8"/>
                <w:szCs w:val="8"/>
                <w:color w:val="auto"/>
              </w:rPr>
            </w:pPr>
          </w:p>
        </w:tc>
        <w:tc>
          <w:tcPr>
            <w:tcW w:w="1060" w:type="dxa"/>
            <w:vAlign w:val="bottom"/>
            <w:gridSpan w:val="3"/>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0" w:type="dxa"/>
            <w:vAlign w:val="bottom"/>
          </w:tcPr>
          <w:p>
            <w:pPr>
              <w:spacing w:after="0"/>
              <w:rPr>
                <w:sz w:val="1"/>
                <w:szCs w:val="1"/>
                <w:color w:val="auto"/>
              </w:rPr>
            </w:pPr>
          </w:p>
        </w:tc>
      </w:tr>
      <w:tr>
        <w:trPr>
          <w:trHeight w:val="81"/>
        </w:trPr>
        <w:tc>
          <w:tcPr>
            <w:tcW w:w="18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40" w:type="dxa"/>
            <w:vAlign w:val="bottom"/>
            <w:gridSpan w:val="3"/>
            <w:vMerge w:val="continue"/>
            <w:shd w:val="clear" w:color="auto" w:fill="CCEEFF"/>
          </w:tcPr>
          <w:p>
            <w:pPr>
              <w:spacing w:after="0"/>
              <w:rPr>
                <w:sz w:val="7"/>
                <w:szCs w:val="7"/>
                <w:color w:val="auto"/>
              </w:rPr>
            </w:pPr>
          </w:p>
        </w:tc>
        <w:tc>
          <w:tcPr>
            <w:tcW w:w="90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7"/>
                <w:szCs w:val="7"/>
                <w:color w:val="auto"/>
              </w:rPr>
            </w:pPr>
          </w:p>
        </w:tc>
        <w:tc>
          <w:tcPr>
            <w:tcW w:w="7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00" w:type="dxa"/>
            <w:vAlign w:val="bottom"/>
            <w:shd w:val="clear" w:color="auto" w:fill="CCEEFF"/>
          </w:tcPr>
          <w:p>
            <w:pPr>
              <w:spacing w:after="0"/>
              <w:rPr>
                <w:sz w:val="7"/>
                <w:szCs w:val="7"/>
                <w:color w:val="auto"/>
              </w:rPr>
            </w:pPr>
          </w:p>
        </w:tc>
        <w:tc>
          <w:tcPr>
            <w:tcW w:w="1060" w:type="dxa"/>
            <w:vAlign w:val="bottom"/>
            <w:gridSpan w:val="2"/>
            <w:vMerge w:val="continue"/>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06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920" w:type="dxa"/>
            <w:vAlign w:val="bottom"/>
            <w:gridSpan w:val="3"/>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controlling</w:t>
            </w:r>
          </w:p>
        </w:tc>
        <w:tc>
          <w:tcPr>
            <w:tcW w:w="680" w:type="dxa"/>
            <w:vAlign w:val="bottom"/>
            <w:vMerge w:val="continue"/>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840" w:type="dxa"/>
            <w:vAlign w:val="bottom"/>
            <w:shd w:val="clear" w:color="auto" w:fill="CCEEFF"/>
          </w:tcPr>
          <w:p>
            <w:pPr>
              <w:spacing w:after="0"/>
              <w:rPr>
                <w:sz w:val="15"/>
                <w:szCs w:val="15"/>
                <w:color w:val="auto"/>
              </w:rPr>
            </w:pPr>
          </w:p>
        </w:tc>
        <w:tc>
          <w:tcPr>
            <w:tcW w:w="1080" w:type="dxa"/>
            <w:vAlign w:val="bottom"/>
            <w:gridSpan w:val="4"/>
            <w:shd w:val="clear" w:color="auto" w:fill="CCEEFF"/>
          </w:tcPr>
          <w:p>
            <w:pPr>
              <w:jc w:val="center"/>
              <w:ind w:right="180"/>
              <w:spacing w:after="0" w:line="178" w:lineRule="exact"/>
              <w:rPr>
                <w:sz w:val="20"/>
                <w:szCs w:val="20"/>
                <w:color w:val="auto"/>
              </w:rPr>
            </w:pPr>
            <w:r>
              <w:rPr>
                <w:rFonts w:ascii="Times New Roman" w:cs="Times New Roman" w:eastAsia="Times New Roman" w:hAnsi="Times New Roman"/>
                <w:sz w:val="16"/>
                <w:szCs w:val="16"/>
                <w:b w:val="1"/>
                <w:bCs w:val="1"/>
                <w:color w:val="auto"/>
                <w:w w:val="99"/>
              </w:rPr>
              <w:t>controlling</w:t>
            </w:r>
          </w:p>
        </w:tc>
        <w:tc>
          <w:tcPr>
            <w:tcW w:w="90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gridSpan w:val="3"/>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160" w:type="dxa"/>
            <w:vAlign w:val="bottom"/>
            <w:gridSpan w:val="3"/>
            <w:shd w:val="clear" w:color="auto" w:fill="CCEEFF"/>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8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060" w:type="dxa"/>
            <w:vAlign w:val="bottom"/>
            <w:gridSpan w:val="3"/>
            <w:vMerge w:val="continue"/>
            <w:shd w:val="clear" w:color="auto" w:fill="CCEEFF"/>
          </w:tcPr>
          <w:p>
            <w:pPr>
              <w:spacing w:after="0"/>
              <w:rPr>
                <w:sz w:val="15"/>
                <w:szCs w:val="15"/>
                <w:color w:val="auto"/>
              </w:rPr>
            </w:pPr>
          </w:p>
        </w:tc>
        <w:tc>
          <w:tcPr>
            <w:tcW w:w="920" w:type="dxa"/>
            <w:vAlign w:val="bottom"/>
            <w:gridSpan w:val="3"/>
            <w:vMerge w:val="continue"/>
            <w:shd w:val="clear" w:color="auto" w:fill="CCEEFF"/>
          </w:tcPr>
          <w:p>
            <w:pPr>
              <w:spacing w:after="0"/>
              <w:rPr>
                <w:sz w:val="15"/>
                <w:szCs w:val="15"/>
                <w:color w:val="auto"/>
              </w:rPr>
            </w:pPr>
          </w:p>
        </w:tc>
        <w:tc>
          <w:tcPr>
            <w:tcW w:w="680" w:type="dxa"/>
            <w:vAlign w:val="bottom"/>
            <w:shd w:val="clear" w:color="auto" w:fill="CCEEFF"/>
          </w:tcPr>
          <w:p>
            <w:pPr>
              <w:jc w:val="right"/>
              <w:ind w:right="19"/>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7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w:t>
            </w: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of redeemable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to</w:t>
            </w:r>
          </w:p>
        </w:tc>
        <w:tc>
          <w:tcPr>
            <w:tcW w:w="14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160" w:type="dxa"/>
            <w:vAlign w:val="bottom"/>
            <w:gridSpan w:val="3"/>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on exercise</w:t>
            </w:r>
          </w:p>
        </w:tc>
        <w:tc>
          <w:tcPr>
            <w:tcW w:w="140" w:type="dxa"/>
            <w:vAlign w:val="bottom"/>
          </w:tcPr>
          <w:p>
            <w:pPr>
              <w:spacing w:after="0"/>
              <w:rPr>
                <w:sz w:val="17"/>
                <w:szCs w:val="17"/>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339,387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0</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employee share options</w:t>
            </w: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Equity-settled transactions</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expense recorded in the</w:t>
            </w: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280" w:type="dxa"/>
            <w:vAlign w:val="bottom"/>
            <w:shd w:val="clear" w:color="auto" w:fill="CCEEFF"/>
          </w:tcPr>
          <w:p>
            <w:pPr>
              <w:spacing w:after="0"/>
              <w:rPr>
                <w:sz w:val="16"/>
                <w:szCs w:val="16"/>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statement</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distributed to</w:t>
            </w:r>
          </w:p>
        </w:tc>
        <w:tc>
          <w:tcPr>
            <w:tcW w:w="140" w:type="dxa"/>
            <w:vAlign w:val="bottom"/>
          </w:tcPr>
          <w:p>
            <w:pPr>
              <w:spacing w:after="0"/>
              <w:rPr>
                <w:sz w:val="17"/>
                <w:szCs w:val="17"/>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non-</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4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w:t>
            </w:r>
          </w:p>
        </w:tc>
        <w:tc>
          <w:tcPr>
            <w:tcW w:w="140" w:type="dxa"/>
            <w:vAlign w:val="bottom"/>
          </w:tcPr>
          <w:p>
            <w:pPr>
              <w:spacing w:after="0"/>
              <w:rPr>
                <w:sz w:val="17"/>
                <w:szCs w:val="17"/>
                <w:color w:val="auto"/>
              </w:rPr>
            </w:pP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w:t>
            </w:r>
          </w:p>
        </w:tc>
        <w:tc>
          <w:tcPr>
            <w:tcW w:w="140" w:type="dxa"/>
            <w:vAlign w:val="bottom"/>
          </w:tcPr>
          <w:p>
            <w:pPr>
              <w:spacing w:after="0"/>
              <w:rPr>
                <w:sz w:val="19"/>
                <w:szCs w:val="19"/>
                <w:color w:val="auto"/>
              </w:rPr>
            </w:pPr>
          </w:p>
        </w:tc>
        <w:tc>
          <w:tcPr>
            <w:tcW w:w="860" w:type="dxa"/>
            <w:vAlign w:val="bottom"/>
            <w:tcBorders>
              <w:right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112</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173,820,519</w:t>
            </w:r>
          </w:p>
        </w:tc>
        <w:tc>
          <w:tcPr>
            <w:tcW w:w="18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36</w:t>
            </w:r>
          </w:p>
        </w:tc>
        <w:tc>
          <w:tcPr>
            <w:tcW w:w="280" w:type="dxa"/>
            <w:vAlign w:val="bottom"/>
            <w:tcBorders>
              <w:top w:val="single" w:sz="8" w:color="auto"/>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(1,242)</w:t>
            </w:r>
          </w:p>
        </w:tc>
        <w:tc>
          <w:tcPr>
            <w:tcW w:w="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6,940</w:t>
            </w: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7,922</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234</w:t>
            </w: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  8,156</w:t>
            </w:r>
          </w:p>
        </w:tc>
        <w:tc>
          <w:tcPr>
            <w:tcW w:w="7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30, 2026</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right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4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right="1260"/>
        <w:spacing w:after="0" w:line="258"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AND REDEEMABLE NON-CONTROLLING INTERESTS</w:t>
      </w:r>
    </w:p>
    <w:p>
      <w:pPr>
        <w:spacing w:after="0"/>
        <w:rPr>
          <w:sz w:val="20"/>
          <w:szCs w:val="20"/>
          <w:color w:val="auto"/>
        </w:rPr>
      </w:pPr>
      <w:r>
        <w:rPr>
          <w:rFonts w:ascii="Times New Roman" w:cs="Times New Roman" w:eastAsia="Times New Roman" w:hAnsi="Times New Roman"/>
          <w:sz w:val="18"/>
          <w:szCs w:val="18"/>
          <w:i w:val="1"/>
          <w:iCs w:val="1"/>
          <w:color w:val="auto"/>
        </w:rPr>
        <w:t>($ in millions except share amounts)</w:t>
      </w:r>
    </w:p>
    <w:p>
      <w:pPr>
        <w:spacing w:after="0" w:line="263"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14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right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gridSpan w:val="3"/>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160" w:type="dxa"/>
            <w:vAlign w:val="bottom"/>
            <w:tcBorders>
              <w:top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800" w:type="dxa"/>
            <w:vAlign w:val="bottom"/>
            <w:tcBorders>
              <w:top w:val="single" w:sz="8" w:color="CCEEFF"/>
            </w:tcBorders>
            <w:gridSpan w:val="3"/>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080" w:type="dxa"/>
            <w:vAlign w:val="bottom"/>
            <w:tcBorders>
              <w:top w:val="single" w:sz="8" w:color="CCEEFF"/>
            </w:tcBorders>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Flutter</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720" w:type="dxa"/>
            <w:vAlign w:val="bottom"/>
            <w:tcBorders>
              <w:top w:val="single" w:sz="8" w:color="CCEEFF"/>
            </w:tcBorders>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151"/>
        </w:trPr>
        <w:tc>
          <w:tcPr>
            <w:tcW w:w="2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center"/>
              <w:ind w:right="300"/>
              <w:spacing w:after="0" w:line="151" w:lineRule="exact"/>
              <w:rPr>
                <w:sz w:val="20"/>
                <w:szCs w:val="20"/>
                <w:color w:val="auto"/>
              </w:rPr>
            </w:pPr>
            <w:r>
              <w:rPr>
                <w:rFonts w:ascii="Times New Roman" w:cs="Times New Roman" w:eastAsia="Times New Roman" w:hAnsi="Times New Roman"/>
                <w:sz w:val="16"/>
                <w:szCs w:val="16"/>
                <w:b w:val="1"/>
                <w:bCs w:val="1"/>
                <w:color w:val="auto"/>
              </w:rPr>
              <w:t>non-</w:t>
            </w: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3"/>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center"/>
              <w:ind w:right="300"/>
              <w:spacing w:after="0" w:line="151" w:lineRule="exact"/>
              <w:rPr>
                <w:sz w:val="20"/>
                <w:szCs w:val="20"/>
                <w:color w:val="auto"/>
              </w:rPr>
            </w:pPr>
            <w:r>
              <w:rPr>
                <w:rFonts w:ascii="Times New Roman" w:cs="Times New Roman" w:eastAsia="Times New Roman" w:hAnsi="Times New Roman"/>
                <w:sz w:val="16"/>
                <w:szCs w:val="16"/>
                <w:b w:val="1"/>
                <w:bCs w:val="1"/>
                <w:color w:val="auto"/>
                <w:w w:val="98"/>
              </w:rPr>
              <w:t>other</w:t>
            </w:r>
          </w:p>
        </w:tc>
        <w:tc>
          <w:tcPr>
            <w:tcW w:w="800" w:type="dxa"/>
            <w:vAlign w:val="bottom"/>
            <w:gridSpan w:val="3"/>
            <w:vMerge w:val="continue"/>
            <w:shd w:val="clear" w:color="auto" w:fill="CCEEFF"/>
          </w:tcPr>
          <w:p>
            <w:pPr>
              <w:spacing w:after="0"/>
              <w:rPr>
                <w:sz w:val="13"/>
                <w:szCs w:val="13"/>
                <w:color w:val="auto"/>
              </w:rPr>
            </w:pPr>
          </w:p>
        </w:tc>
        <w:tc>
          <w:tcPr>
            <w:tcW w:w="1080" w:type="dxa"/>
            <w:vAlign w:val="bottom"/>
            <w:gridSpan w:val="3"/>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0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paid-in</w:t>
            </w:r>
          </w:p>
        </w:tc>
        <w:tc>
          <w:tcPr>
            <w:tcW w:w="11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800" w:type="dxa"/>
            <w:vAlign w:val="bottom"/>
            <w:gridSpan w:val="3"/>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0" w:type="dxa"/>
            <w:vAlign w:val="bottom"/>
          </w:tcPr>
          <w:p>
            <w:pPr>
              <w:spacing w:after="0"/>
              <w:rPr>
                <w:sz w:val="1"/>
                <w:szCs w:val="1"/>
                <w:color w:val="auto"/>
              </w:rPr>
            </w:pPr>
          </w:p>
        </w:tc>
      </w:tr>
      <w:tr>
        <w:trPr>
          <w:trHeight w:val="189"/>
        </w:trPr>
        <w:tc>
          <w:tcPr>
            <w:tcW w:w="2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3"/>
            <w:vMerge w:val="restart"/>
            <w:shd w:val="clear" w:color="auto" w:fill="CCEEFF"/>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14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40" w:type="dxa"/>
            <w:vAlign w:val="bottom"/>
            <w:gridSpan w:val="3"/>
            <w:vMerge w:val="continue"/>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40" w:type="dxa"/>
            <w:vAlign w:val="bottom"/>
            <w:gridSpan w:val="2"/>
            <w:vMerge w:val="continue"/>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14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Balance as of December 31,</w:t>
            </w: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1,808</w:t>
            </w:r>
          </w:p>
        </w:tc>
        <w:tc>
          <w:tcPr>
            <w:tcW w:w="100" w:type="dxa"/>
            <w:vAlign w:val="bottom"/>
            <w:tcBorders>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177,895,367</w:t>
            </w:r>
          </w:p>
        </w:tc>
        <w:tc>
          <w:tcPr>
            <w:tcW w:w="80" w:type="dxa"/>
            <w:vAlign w:val="bottom"/>
          </w:tcPr>
          <w:p>
            <w:pPr>
              <w:spacing w:after="0"/>
              <w:rPr>
                <w:sz w:val="15"/>
                <w:szCs w:val="15"/>
                <w:color w:val="auto"/>
              </w:rPr>
            </w:pPr>
          </w:p>
        </w:tc>
        <w:tc>
          <w:tcPr>
            <w:tcW w:w="260" w:type="dxa"/>
            <w:vAlign w:val="bottom"/>
            <w:tcBorders>
              <w:top w:val="single" w:sz="8" w:color="auto"/>
            </w:tcBorders>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Pr>
          <w:p>
            <w:pPr>
              <w:spacing w:after="0"/>
              <w:rPr>
                <w:sz w:val="15"/>
                <w:szCs w:val="15"/>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1,611</w:t>
            </w:r>
          </w:p>
        </w:tc>
        <w:tc>
          <w:tcPr>
            <w:tcW w:w="80" w:type="dxa"/>
            <w:vAlign w:val="bottom"/>
          </w:tcPr>
          <w:p>
            <w:pPr>
              <w:spacing w:after="0"/>
              <w:rPr>
                <w:sz w:val="15"/>
                <w:szCs w:val="15"/>
                <w:color w:val="auto"/>
              </w:rPr>
            </w:pPr>
          </w:p>
        </w:tc>
        <w:tc>
          <w:tcPr>
            <w:tcW w:w="2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(1,927)</w:t>
            </w:r>
          </w:p>
        </w:tc>
        <w:tc>
          <w:tcPr>
            <w:tcW w:w="80" w:type="dxa"/>
            <w:vAlign w:val="bottom"/>
          </w:tcPr>
          <w:p>
            <w:pPr>
              <w:spacing w:after="0"/>
              <w:rPr>
                <w:sz w:val="15"/>
                <w:szCs w:val="15"/>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9,573</w:t>
            </w:r>
          </w:p>
        </w:tc>
        <w:tc>
          <w:tcPr>
            <w:tcW w:w="80" w:type="dxa"/>
            <w:vAlign w:val="bottom"/>
          </w:tcPr>
          <w:p>
            <w:pPr>
              <w:spacing w:after="0"/>
              <w:rPr>
                <w:sz w:val="15"/>
                <w:szCs w:val="15"/>
                <w:color w:val="auto"/>
              </w:rPr>
            </w:pPr>
          </w:p>
        </w:tc>
        <w:tc>
          <w:tcPr>
            <w:tcW w:w="2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9,293</w:t>
            </w:r>
          </w:p>
        </w:tc>
        <w:tc>
          <w:tcPr>
            <w:tcW w:w="80" w:type="dxa"/>
            <w:vAlign w:val="bottom"/>
          </w:tcPr>
          <w:p>
            <w:pPr>
              <w:spacing w:after="0"/>
              <w:rPr>
                <w:sz w:val="15"/>
                <w:szCs w:val="15"/>
                <w:color w:val="auto"/>
              </w:rPr>
            </w:pPr>
          </w:p>
        </w:tc>
        <w:tc>
          <w:tcPr>
            <w:tcW w:w="1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166</w:t>
            </w:r>
          </w:p>
        </w:tc>
        <w:tc>
          <w:tcPr>
            <w:tcW w:w="8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9,459</w:t>
            </w: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Borders>
              <w:bottom w:val="single" w:sz="8" w:color="auto"/>
            </w:tcBorders>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w:t>
            </w:r>
          </w:p>
        </w:tc>
        <w:tc>
          <w:tcPr>
            <w:tcW w:w="0" w:type="dxa"/>
            <w:vAlign w:val="bottom"/>
          </w:tcPr>
          <w:p>
            <w:pPr>
              <w:spacing w:after="0"/>
              <w:rPr>
                <w:sz w:val="1"/>
                <w:szCs w:val="1"/>
                <w:color w:val="auto"/>
              </w:rPr>
            </w:pPr>
          </w:p>
        </w:tc>
      </w:tr>
      <w:tr>
        <w:trPr>
          <w:trHeight w:val="202"/>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 of redeemable non-</w:t>
            </w: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controlling interest to fair value</w:t>
            </w: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on exercise of</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182,515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share options</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Equity-settled transactions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recorded in the income</w:t>
            </w:r>
          </w:p>
        </w:tc>
        <w:tc>
          <w:tcPr>
            <w:tcW w:w="140" w:type="dxa"/>
            <w:vAlign w:val="bottom"/>
          </w:tcPr>
          <w:p>
            <w:pPr>
              <w:spacing w:after="0"/>
              <w:rPr>
                <w:sz w:val="16"/>
                <w:szCs w:val="16"/>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statement</w:t>
            </w: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(890,999)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distributed to non-</w:t>
            </w:r>
          </w:p>
        </w:tc>
        <w:tc>
          <w:tcPr>
            <w:tcW w:w="140" w:type="dxa"/>
            <w:vAlign w:val="bottom"/>
          </w:tcPr>
          <w:p>
            <w:pPr>
              <w:spacing w:after="0"/>
              <w:rPr>
                <w:sz w:val="17"/>
                <w:szCs w:val="17"/>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1,737</w:t>
            </w: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177,186,883</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1,670</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(1,591)</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9,748</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9,863</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173</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10,036</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2"/>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 of redeemable non-</w:t>
            </w:r>
          </w:p>
        </w:tc>
        <w:tc>
          <w:tcPr>
            <w:tcW w:w="1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controlling interest to fair value</w:t>
            </w: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on exercise of</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312,002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share options</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Equity-settled transactions –</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 recorded in the income</w:t>
            </w:r>
          </w:p>
        </w:tc>
        <w:tc>
          <w:tcPr>
            <w:tcW w:w="140" w:type="dxa"/>
            <w:vAlign w:val="bottom"/>
          </w:tcPr>
          <w:p>
            <w:pPr>
              <w:spacing w:after="0"/>
              <w:rPr>
                <w:sz w:val="16"/>
                <w:szCs w:val="16"/>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statement</w:t>
            </w: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liability-classified</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121,770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awards in equity</w:t>
            </w:r>
          </w:p>
        </w:tc>
        <w:tc>
          <w:tcPr>
            <w:tcW w:w="140" w:type="dxa"/>
            <w:vAlign w:val="bottom"/>
            <w:shd w:val="clear" w:color="auto" w:fill="CCEEFF"/>
          </w:tcPr>
          <w:p>
            <w:pPr>
              <w:spacing w:after="0"/>
              <w:rPr>
                <w:sz w:val="19"/>
                <w:szCs w:val="19"/>
                <w:color w:val="auto"/>
              </w:rPr>
            </w:pPr>
          </w:p>
        </w:tc>
        <w:tc>
          <w:tcPr>
            <w:tcW w:w="880" w:type="dxa"/>
            <w:vAlign w:val="bottom"/>
            <w:tcBorders>
              <w:right w:val="single" w:sz="8" w:color="auto"/>
            </w:tcBorders>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NSX</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(1,249,950)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distributed to non-</w:t>
            </w:r>
          </w:p>
        </w:tc>
        <w:tc>
          <w:tcPr>
            <w:tcW w:w="140" w:type="dxa"/>
            <w:vAlign w:val="bottom"/>
          </w:tcPr>
          <w:p>
            <w:pPr>
              <w:spacing w:after="0"/>
              <w:rPr>
                <w:sz w:val="17"/>
                <w:szCs w:val="17"/>
                <w:color w:val="auto"/>
              </w:rPr>
            </w:pPr>
          </w:p>
        </w:tc>
        <w:tc>
          <w:tcPr>
            <w:tcW w:w="8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6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controlling interests</w:t>
            </w:r>
          </w:p>
        </w:tc>
        <w:tc>
          <w:tcPr>
            <w:tcW w:w="140" w:type="dxa"/>
            <w:vAlign w:val="bottom"/>
          </w:tcPr>
          <w:p>
            <w:pPr>
              <w:spacing w:after="0"/>
              <w:rPr>
                <w:sz w:val="19"/>
                <w:szCs w:val="19"/>
                <w:color w:val="auto"/>
              </w:rPr>
            </w:pPr>
          </w:p>
        </w:tc>
        <w:tc>
          <w:tcPr>
            <w:tcW w:w="880" w:type="dxa"/>
            <w:vAlign w:val="bottom"/>
            <w:tcBorders>
              <w:right w:val="single" w:sz="8" w:color="auto"/>
            </w:tcBorders>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right w:val="single" w:sz="8" w:color="auto"/>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2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2,236</w:t>
            </w:r>
          </w:p>
        </w:tc>
        <w:tc>
          <w:tcPr>
            <w:tcW w:w="10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176,370,705</w:t>
            </w:r>
          </w:p>
        </w:tc>
        <w:tc>
          <w:tcPr>
            <w:tcW w:w="8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w:t>
            </w:r>
          </w:p>
        </w:tc>
        <w:tc>
          <w:tcPr>
            <w:tcW w:w="8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1,810</w:t>
            </w:r>
          </w:p>
        </w:tc>
        <w:tc>
          <w:tcPr>
            <w:tcW w:w="8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(880)</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9,249</w:t>
            </w:r>
          </w:p>
        </w:tc>
        <w:tc>
          <w:tcPr>
            <w:tcW w:w="80" w:type="dxa"/>
            <w:vAlign w:val="bottom"/>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10,215</w:t>
            </w:r>
          </w:p>
        </w:tc>
        <w:tc>
          <w:tcPr>
            <w:tcW w:w="8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10,406</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ind w:right="1260"/>
        <w:spacing w:after="0" w:line="258"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AND REDEEMABLE NON-CONTROLLING INTERESTS (continued)</w:t>
      </w:r>
    </w:p>
    <w:p>
      <w:pPr>
        <w:spacing w:after="0"/>
        <w:rPr>
          <w:sz w:val="20"/>
          <w:szCs w:val="20"/>
          <w:color w:val="auto"/>
        </w:rPr>
      </w:pPr>
      <w:r>
        <w:rPr>
          <w:rFonts w:ascii="Times New Roman" w:cs="Times New Roman" w:eastAsia="Times New Roman" w:hAnsi="Times New Roman"/>
          <w:sz w:val="18"/>
          <w:szCs w:val="18"/>
          <w:i w:val="1"/>
          <w:iCs w:val="1"/>
          <w:color w:val="auto"/>
        </w:rPr>
        <w:t>($ in millions except share amounts)</w:t>
      </w:r>
    </w:p>
    <w:p>
      <w:pPr>
        <w:spacing w:after="0" w:line="18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Ordinary shares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0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gridSpan w:val="4"/>
            <w:shd w:val="clear" w:color="auto" w:fill="CCEEFF"/>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Redeemable</w:t>
            </w:r>
          </w:p>
        </w:tc>
        <w:tc>
          <w:tcPr>
            <w:tcW w:w="9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gridSpan w:val="3"/>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CCEEFF"/>
            </w:tcBorders>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Total Flutter</w:t>
            </w:r>
          </w:p>
        </w:tc>
        <w:tc>
          <w:tcPr>
            <w:tcW w:w="1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CCEEFF"/>
            </w:tcBorders>
            <w:gridSpan w:val="2"/>
            <w:vMerge w:val="restart"/>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Non-</w:t>
            </w:r>
          </w:p>
        </w:tc>
        <w:tc>
          <w:tcPr>
            <w:tcW w:w="6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gridSpan w:val="3"/>
            <w:vMerge w:val="restart"/>
            <w:shd w:val="clear" w:color="auto" w:fill="CCEEFF"/>
          </w:tcPr>
          <w:p>
            <w:pPr>
              <w:jc w:val="center"/>
              <w:ind w:right="499"/>
              <w:spacing w:after="0" w:line="175" w:lineRule="exact"/>
              <w:rPr>
                <w:sz w:val="20"/>
                <w:szCs w:val="20"/>
                <w:color w:val="auto"/>
              </w:rPr>
            </w:pPr>
            <w:r>
              <w:rPr>
                <w:rFonts w:ascii="Times New Roman" w:cs="Times New Roman" w:eastAsia="Times New Roman" w:hAnsi="Times New Roman"/>
                <w:sz w:val="16"/>
                <w:szCs w:val="16"/>
                <w:b w:val="1"/>
                <w:bCs w:val="1"/>
                <w:color w:val="auto"/>
              </w:rPr>
              <w:t>non-</w:t>
            </w:r>
          </w:p>
        </w:tc>
        <w:tc>
          <w:tcPr>
            <w:tcW w:w="9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4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80" w:type="dxa"/>
            <w:vAlign w:val="bottom"/>
            <w:gridSpan w:val="2"/>
            <w:vMerge w:val="restart"/>
            <w:shd w:val="clear" w:color="auto" w:fill="CCEEFF"/>
          </w:tcPr>
          <w:p>
            <w:pPr>
              <w:jc w:val="center"/>
              <w:ind w:right="180"/>
              <w:spacing w:after="0" w:line="175" w:lineRule="exact"/>
              <w:rPr>
                <w:sz w:val="20"/>
                <w:szCs w:val="20"/>
                <w:color w:val="auto"/>
              </w:rPr>
            </w:pPr>
            <w:r>
              <w:rPr>
                <w:rFonts w:ascii="Times New Roman" w:cs="Times New Roman" w:eastAsia="Times New Roman" w:hAnsi="Times New Roman"/>
                <w:sz w:val="16"/>
                <w:szCs w:val="16"/>
                <w:b w:val="1"/>
                <w:bCs w:val="1"/>
                <w:color w:val="auto"/>
              </w:rPr>
              <w:t>other</w:t>
            </w:r>
          </w:p>
        </w:tc>
        <w:tc>
          <w:tcPr>
            <w:tcW w:w="800" w:type="dxa"/>
            <w:vAlign w:val="bottom"/>
            <w:gridSpan w:val="2"/>
            <w:vMerge w:val="restart"/>
            <w:shd w:val="clear" w:color="auto" w:fill="CCEEFF"/>
          </w:tcPr>
          <w:p>
            <w:pPr>
              <w:jc w:val="right"/>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060" w:type="dxa"/>
            <w:vAlign w:val="bottom"/>
            <w:gridSpan w:val="3"/>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640" w:type="dxa"/>
            <w:vAlign w:val="bottom"/>
            <w:vMerge w:val="restart"/>
            <w:shd w:val="clear" w:color="auto" w:fill="CCEEFF"/>
          </w:tcPr>
          <w:p>
            <w:pPr>
              <w:jc w:val="right"/>
              <w:ind w:right="59"/>
              <w:spacing w:after="0" w:line="175" w:lineRule="exact"/>
              <w:rPr>
                <w:sz w:val="20"/>
                <w:szCs w:val="20"/>
                <w:color w:val="auto"/>
              </w:rPr>
            </w:pPr>
            <w:r>
              <w:rPr>
                <w:rFonts w:ascii="Times New Roman" w:cs="Times New Roman" w:eastAsia="Times New Roman" w:hAnsi="Times New Roman"/>
                <w:sz w:val="16"/>
                <w:szCs w:val="16"/>
                <w:b w:val="1"/>
                <w:bCs w:val="1"/>
                <w:color w:val="auto"/>
              </w:rPr>
              <w:t>Total</w:t>
            </w:r>
          </w:p>
        </w:tc>
        <w:tc>
          <w:tcPr>
            <w:tcW w:w="80" w:type="dxa"/>
            <w:vAlign w:val="bottom"/>
            <w:shd w:val="clear" w:color="auto" w:fill="CCEEFF"/>
          </w:tcPr>
          <w:p>
            <w:pPr>
              <w:spacing w:after="0"/>
              <w:rPr>
                <w:sz w:val="8"/>
                <w:szCs w:val="8"/>
                <w:color w:val="auto"/>
              </w:rPr>
            </w:pPr>
          </w:p>
        </w:tc>
        <w:tc>
          <w:tcPr>
            <w:tcW w:w="560" w:type="dxa"/>
            <w:vAlign w:val="bottom"/>
            <w:vMerge w:val="restart"/>
            <w:shd w:val="clear" w:color="auto" w:fill="CCEEFF"/>
          </w:tcPr>
          <w:p>
            <w:pPr>
              <w:ind w:left="160"/>
              <w:spacing w:after="0" w:line="175" w:lineRule="exact"/>
              <w:rPr>
                <w:sz w:val="20"/>
                <w:szCs w:val="20"/>
                <w:color w:val="auto"/>
              </w:rPr>
            </w:pPr>
            <w:r>
              <w:rPr>
                <w:rFonts w:ascii="Times New Roman" w:cs="Times New Roman" w:eastAsia="Times New Roman" w:hAnsi="Times New Roman"/>
                <w:sz w:val="16"/>
                <w:szCs w:val="16"/>
                <w:b w:val="1"/>
                <w:bCs w:val="1"/>
                <w:color w:val="auto"/>
              </w:rPr>
              <w:t>Net</w:t>
            </w:r>
          </w:p>
        </w:tc>
        <w:tc>
          <w:tcPr>
            <w:tcW w:w="0" w:type="dxa"/>
            <w:vAlign w:val="bottom"/>
          </w:tcPr>
          <w:p>
            <w:pPr>
              <w:spacing w:after="0"/>
              <w:rPr>
                <w:sz w:val="1"/>
                <w:szCs w:val="1"/>
                <w:color w:val="auto"/>
              </w:rPr>
            </w:pPr>
          </w:p>
        </w:tc>
      </w:tr>
      <w:tr>
        <w:trPr>
          <w:trHeight w:val="81"/>
        </w:trPr>
        <w:tc>
          <w:tcPr>
            <w:tcW w:w="18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220" w:type="dxa"/>
            <w:vAlign w:val="bottom"/>
            <w:gridSpan w:val="3"/>
            <w:vMerge w:val="continue"/>
            <w:shd w:val="clear" w:color="auto" w:fill="CCEEFF"/>
          </w:tcPr>
          <w:p>
            <w:pPr>
              <w:spacing w:after="0"/>
              <w:rPr>
                <w:sz w:val="7"/>
                <w:szCs w:val="7"/>
                <w:color w:val="auto"/>
              </w:rPr>
            </w:pPr>
          </w:p>
        </w:tc>
        <w:tc>
          <w:tcPr>
            <w:tcW w:w="920" w:type="dxa"/>
            <w:vAlign w:val="bottom"/>
            <w:vMerge w:val="restart"/>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shd w:val="clear" w:color="auto" w:fill="CCEEFF"/>
          </w:tcPr>
          <w:p>
            <w:pPr>
              <w:spacing w:after="0"/>
              <w:rPr>
                <w:sz w:val="7"/>
                <w:szCs w:val="7"/>
                <w:color w:val="auto"/>
              </w:rPr>
            </w:pPr>
          </w:p>
        </w:tc>
        <w:tc>
          <w:tcPr>
            <w:tcW w:w="980" w:type="dxa"/>
            <w:vAlign w:val="bottom"/>
            <w:gridSpan w:val="4"/>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0" w:type="dxa"/>
            <w:vAlign w:val="bottom"/>
            <w:gridSpan w:val="2"/>
            <w:vMerge w:val="restart"/>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shd w:val="clear" w:color="auto" w:fill="CCEEFF"/>
          </w:tcPr>
          <w:p>
            <w:pPr>
              <w:spacing w:after="0"/>
              <w:rPr>
                <w:sz w:val="7"/>
                <w:szCs w:val="7"/>
                <w:color w:val="auto"/>
              </w:rPr>
            </w:pPr>
          </w:p>
        </w:tc>
        <w:tc>
          <w:tcPr>
            <w:tcW w:w="1080" w:type="dxa"/>
            <w:vAlign w:val="bottom"/>
            <w:gridSpan w:val="2"/>
            <w:vMerge w:val="continue"/>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0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88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controlling</w:t>
            </w:r>
          </w:p>
        </w:tc>
        <w:tc>
          <w:tcPr>
            <w:tcW w:w="640" w:type="dxa"/>
            <w:vAlign w:val="bottom"/>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1800" w:type="dxa"/>
            <w:vAlign w:val="bottom"/>
            <w:shd w:val="clear" w:color="auto" w:fill="CCEEFF"/>
          </w:tcPr>
          <w:p>
            <w:pPr>
              <w:spacing w:after="0"/>
              <w:rPr>
                <w:sz w:val="15"/>
                <w:szCs w:val="15"/>
                <w:color w:val="auto"/>
              </w:rPr>
            </w:pPr>
          </w:p>
        </w:tc>
        <w:tc>
          <w:tcPr>
            <w:tcW w:w="1360" w:type="dxa"/>
            <w:vAlign w:val="bottom"/>
            <w:gridSpan w:val="4"/>
            <w:shd w:val="clear" w:color="auto" w:fill="CCEEFF"/>
          </w:tcPr>
          <w:p>
            <w:pPr>
              <w:jc w:val="center"/>
              <w:ind w:right="359"/>
              <w:spacing w:after="0" w:line="178" w:lineRule="exact"/>
              <w:rPr>
                <w:sz w:val="20"/>
                <w:szCs w:val="20"/>
                <w:color w:val="auto"/>
              </w:rPr>
            </w:pPr>
            <w:r>
              <w:rPr>
                <w:rFonts w:ascii="Times New Roman" w:cs="Times New Roman" w:eastAsia="Times New Roman" w:hAnsi="Times New Roman"/>
                <w:sz w:val="16"/>
                <w:szCs w:val="16"/>
                <w:b w:val="1"/>
                <w:bCs w:val="1"/>
                <w:color w:val="auto"/>
              </w:rPr>
              <w:t>controlling</w:t>
            </w:r>
          </w:p>
        </w:tc>
        <w:tc>
          <w:tcPr>
            <w:tcW w:w="920" w:type="dxa"/>
            <w:vAlign w:val="bottom"/>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4"/>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80" w:type="dxa"/>
            <w:vAlign w:val="bottom"/>
            <w:gridSpan w:val="3"/>
            <w:shd w:val="clear" w:color="auto" w:fill="CCEEFF"/>
          </w:tcPr>
          <w:p>
            <w:pPr>
              <w:jc w:val="center"/>
              <w:ind w:right="80"/>
              <w:spacing w:after="0" w:line="178"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800" w:type="dxa"/>
            <w:vAlign w:val="bottom"/>
            <w:gridSpan w:val="2"/>
            <w:shd w:val="clear" w:color="auto" w:fill="CCEEFF"/>
          </w:tcPr>
          <w:p>
            <w:pPr>
              <w:jc w:val="right"/>
              <w:ind w:right="120"/>
              <w:spacing w:after="0" w:line="178" w:lineRule="exact"/>
              <w:rPr>
                <w:sz w:val="20"/>
                <w:szCs w:val="20"/>
                <w:color w:val="auto"/>
              </w:rPr>
            </w:pPr>
            <w:r>
              <w:rPr>
                <w:rFonts w:ascii="Times New Roman" w:cs="Times New Roman" w:eastAsia="Times New Roman" w:hAnsi="Times New Roman"/>
                <w:sz w:val="16"/>
                <w:szCs w:val="16"/>
                <w:b w:val="1"/>
                <w:bCs w:val="1"/>
                <w:color w:val="auto"/>
              </w:rPr>
              <w:t>earnings</w:t>
            </w:r>
          </w:p>
        </w:tc>
        <w:tc>
          <w:tcPr>
            <w:tcW w:w="1060" w:type="dxa"/>
            <w:vAlign w:val="bottom"/>
            <w:gridSpan w:val="3"/>
            <w:vMerge w:val="continue"/>
            <w:shd w:val="clear" w:color="auto" w:fill="CCEEFF"/>
          </w:tcPr>
          <w:p>
            <w:pPr>
              <w:spacing w:after="0"/>
              <w:rPr>
                <w:sz w:val="15"/>
                <w:szCs w:val="15"/>
                <w:color w:val="auto"/>
              </w:rPr>
            </w:pPr>
          </w:p>
        </w:tc>
        <w:tc>
          <w:tcPr>
            <w:tcW w:w="880" w:type="dxa"/>
            <w:vAlign w:val="bottom"/>
            <w:gridSpan w:val="3"/>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b w:val="1"/>
                <w:bCs w:val="1"/>
                <w:color w:val="auto"/>
              </w:rPr>
              <w:t>equity</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ind w:left="160"/>
              <w:spacing w:after="0" w:line="178" w:lineRule="exact"/>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3"/>
            <w:vMerge w:val="restart"/>
            <w:shd w:val="clear" w:color="auto" w:fill="CCEEFF"/>
          </w:tcPr>
          <w:p>
            <w:pPr>
              <w:jc w:val="center"/>
              <w:ind w:right="439"/>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capital</w:t>
            </w:r>
          </w:p>
        </w:tc>
        <w:tc>
          <w:tcPr>
            <w:tcW w:w="10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8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220" w:type="dxa"/>
            <w:vAlign w:val="bottom"/>
            <w:tcBorders>
              <w:bottom w:val="single" w:sz="8" w:color="CCEEFF"/>
            </w:tcBorders>
            <w:gridSpan w:val="3"/>
            <w:vMerge w:val="continue"/>
            <w:shd w:val="clear" w:color="auto" w:fill="CCEEFF"/>
          </w:tcPr>
          <w:p>
            <w:pPr>
              <w:spacing w:after="0"/>
              <w:rPr>
                <w:sz w:val="7"/>
                <w:szCs w:val="7"/>
                <w:color w:val="auto"/>
              </w:rPr>
            </w:pPr>
          </w:p>
        </w:tc>
        <w:tc>
          <w:tcPr>
            <w:tcW w:w="92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gridSpan w:val="2"/>
            <w:vMerge w:val="continue"/>
            <w:shd w:val="clear" w:color="auto" w:fill="CCEEFF"/>
          </w:tcPr>
          <w:p>
            <w:pPr>
              <w:spacing w:after="0"/>
              <w:rPr>
                <w:sz w:val="7"/>
                <w:szCs w:val="7"/>
                <w:color w:val="auto"/>
              </w:rPr>
            </w:pPr>
          </w:p>
        </w:tc>
        <w:tc>
          <w:tcPr>
            <w:tcW w:w="7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8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7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6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56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80" w:type="dxa"/>
            <w:vAlign w:val="bottom"/>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 of redeemable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 to</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 on exercise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employee share options</w:t>
            </w:r>
          </w:p>
        </w:tc>
        <w:tc>
          <w:tcPr>
            <w:tcW w:w="140" w:type="dxa"/>
            <w:vAlign w:val="bottom"/>
          </w:tcPr>
          <w:p>
            <w:pPr>
              <w:spacing w:after="0"/>
              <w:rPr>
                <w:sz w:val="18"/>
                <w:szCs w:val="18"/>
                <w:color w:val="auto"/>
              </w:rPr>
            </w:pPr>
          </w:p>
        </w:tc>
        <w:tc>
          <w:tcPr>
            <w:tcW w:w="1000" w:type="dxa"/>
            <w:vAlign w:val="bottom"/>
            <w:tcBorders>
              <w:right w:val="single" w:sz="8" w:color="auto"/>
            </w:tcBorders>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298,643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Equity-settled transactions</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expense recorded in the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statement</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right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 of redeemable</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shares</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right w:val="single" w:sz="8" w:color="auto"/>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(769,687)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distributed to</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tcBorders>
              <w:right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Borders>
              <w:bottom w:val="single" w:sz="8" w:color="CCEEFF"/>
              <w:right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800" w:type="dxa"/>
            <w:vAlign w:val="bottom"/>
            <w:vMerge w:val="continue"/>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tcBorders>
              <w:right w:val="single" w:sz="8" w:color="auto"/>
            </w:tcBorders>
            <w:gridSpan w:val="2"/>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485 —</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175,899,661</w:t>
            </w:r>
          </w:p>
        </w:tc>
        <w:tc>
          <w:tcPr>
            <w:tcW w:w="4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 $</w:t>
            </w:r>
          </w:p>
        </w:tc>
        <w:tc>
          <w:tcPr>
            <w:tcW w:w="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36 —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1,929</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(1,061)</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8,340</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9,244</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190</w:t>
            </w: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$ 9,434</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30, 2025</w:t>
            </w:r>
          </w:p>
        </w:tc>
        <w:tc>
          <w:tcPr>
            <w:tcW w:w="140" w:type="dxa"/>
            <w:vAlign w:val="bottom"/>
            <w:vMerge w:val="continue"/>
          </w:tcPr>
          <w:p>
            <w:pPr>
              <w:spacing w:after="0"/>
              <w:rPr>
                <w:sz w:val="20"/>
                <w:szCs w:val="20"/>
                <w:color w:val="auto"/>
              </w:rPr>
            </w:pPr>
          </w:p>
        </w:tc>
        <w:tc>
          <w:tcPr>
            <w:tcW w:w="1000" w:type="dxa"/>
            <w:vAlign w:val="bottom"/>
            <w:tcBorders>
              <w:right w:val="single" w:sz="8" w:color="auto"/>
            </w:tcBorders>
            <w:gridSpan w:val="2"/>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92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720" w:type="dxa"/>
            <w:vAlign w:val="bottom"/>
            <w:gridSpan w:val="3"/>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 CONDENSED CONSOLIDATED STATEMENTS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280" w:type="dxa"/>
            <w:vAlign w:val="bottom"/>
          </w:tcPr>
          <w:p>
            <w:pPr>
              <w:spacing w:after="0"/>
              <w:rPr>
                <w:sz w:val="17"/>
                <w:szCs w:val="17"/>
                <w:color w:val="auto"/>
              </w:rPr>
            </w:pPr>
          </w:p>
        </w:tc>
        <w:tc>
          <w:tcPr>
            <w:tcW w:w="2780" w:type="dxa"/>
            <w:vAlign w:val="bottom"/>
            <w:gridSpan w:val="4"/>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0"/>
        </w:trPr>
        <w:tc>
          <w:tcPr>
            <w:tcW w:w="8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(1,235)</w:t>
            </w:r>
          </w:p>
        </w:tc>
        <w:tc>
          <w:tcPr>
            <w:tcW w:w="100" w:type="dxa"/>
            <w:vAlign w:val="bottom"/>
          </w:tcPr>
          <w:p>
            <w:pPr>
              <w:spacing w:after="0"/>
              <w:rPr>
                <w:sz w:val="17"/>
                <w:szCs w:val="17"/>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(417)</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loss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fair value of derivatives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Non-cash interest expense, net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Unrealized foreign currency exchange loss (gain), net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disposals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 – equity classified</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Share-based compensation – liability classified</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tax benefit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extinguishment</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06"/>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Player deposits - investments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0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0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r>
      <w:tr>
        <w:trPr>
          <w:trHeight w:val="206"/>
        </w:trPr>
        <w:tc>
          <w:tcPr>
            <w:tcW w:w="81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Player deposit liability</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leases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904</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756</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Capitalized software</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Acquisitions, net of cash acquired</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(2,688)</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disposal of intangible assets</w:t>
            </w:r>
          </w:p>
        </w:tc>
        <w:tc>
          <w:tcPr>
            <w:tcW w:w="280" w:type="dxa"/>
            <w:vAlign w:val="bottom"/>
          </w:tcPr>
          <w:p>
            <w:pPr>
              <w:spacing w:after="0"/>
              <w:rPr>
                <w:sz w:val="17"/>
                <w:szCs w:val="17"/>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settlement of derivatives designated in net investment hedge</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Investment in equity securities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(3,135)</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Proceeds from issue of ordinary share upon exercise of options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long-term debt (net of transactions costs with lenders)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10,084</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Transaction costs with third parties from issuance of long-term debt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Repayment of long-term debt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(5,054)</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Acquisition of redeemable non-controlling interests</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 of contingent consideration</w:t>
            </w:r>
          </w:p>
        </w:tc>
        <w:tc>
          <w:tcPr>
            <w:tcW w:w="2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Purchases of intangible assets with extended payment terms</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Repurchase of ordinary shares and taxes withheld and paid on employee share awards</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Proceeds from issuance of equity to non-controlling interest</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2,517</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w:t>
            </w:r>
          </w:p>
        </w:tc>
      </w:tr>
      <w:tr>
        <w:trPr>
          <w:trHeight w:val="24"/>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period</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3,509</w:t>
            </w: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foreign exchange on cash, cash equivalents and restricted cash</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4"/>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3,920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3,734</w:t>
            </w:r>
          </w:p>
        </w:tc>
      </w:tr>
      <w:tr>
        <w:trPr>
          <w:trHeight w:val="24"/>
        </w:trPr>
        <w:tc>
          <w:tcPr>
            <w:tcW w:w="8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(continued)</w:t>
      </w:r>
    </w:p>
    <w:p>
      <w:pPr>
        <w:spacing w:after="0" w:line="106"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comprise of:</w:t>
            </w:r>
          </w:p>
        </w:tc>
        <w:tc>
          <w:tcPr>
            <w:tcW w:w="9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980" w:type="dxa"/>
            <w:vAlign w:val="bottom"/>
            <w:tcBorders>
              <w:bottom w:val="single" w:sz="8" w:color="CCEEFF"/>
            </w:tcBorders>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Cash and cash equivalents - restricted</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Player deposits - cash &amp; cash equivalents</w:t>
            </w:r>
          </w:p>
        </w:tc>
        <w:tc>
          <w:tcPr>
            <w:tcW w:w="9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980" w:type="dxa"/>
            <w:vAlign w:val="bottom"/>
            <w:tcBorders>
              <w:top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3,920</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3,734</w:t>
            </w: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Interest paid</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w:t>
            </w: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Income tax paid (net of refunds)</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r>
      <w:tr>
        <w:trPr>
          <w:trHeight w:val="206"/>
        </w:trPr>
        <w:tc>
          <w:tcPr>
            <w:tcW w:w="8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cash flows from operating leases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6"/>
        </w:trPr>
        <w:tc>
          <w:tcPr>
            <w:tcW w:w="8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0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Purchase of long lived assets with accrued expense - investing</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06"/>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Purchase of long lived assets with accrued expense - financing</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Right of use assets obtained in exchange for new operating lease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206"/>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Adjustments to lease balances as a result of remeasurement</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0"/>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Business acquisitions (including contingent consideration)</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206"/>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Non-cash issuance of common stock upon exercise of options</w:t>
            </w:r>
          </w:p>
        </w:tc>
        <w:tc>
          <w:tcPr>
            <w:tcW w:w="9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3"/>
        </w:trPr>
        <w:tc>
          <w:tcPr>
            <w:tcW w:w="8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Non-cash transaction costs on issuance of long-term debt</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206"/>
        </w:trPr>
        <w:tc>
          <w:tcPr>
            <w:tcW w:w="8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Asset retirement obligation</w:t>
            </w:r>
          </w:p>
        </w:tc>
        <w:tc>
          <w:tcPr>
            <w:tcW w:w="980" w:type="dxa"/>
            <w:vAlign w:val="bottom"/>
          </w:tcPr>
          <w:p>
            <w:pPr>
              <w:spacing w:after="0"/>
              <w:rPr>
                <w:sz w:val="17"/>
                <w:szCs w:val="17"/>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Flutter Entertainment plc (the “Company” or “Flutter”) and its subsidiaries (together referred to as the “Group”) is a global online sports betting and iGaming entity, operating some of the world’s most innovative, diverse and distinctive online sports betting and gaming brands such as FanDuel, Sky Betting &amp; Gaming, Sportsbet, PokerStars, Paddy Power, Sisal, tombola, Betfair, Adjarabet, MaxBet, Snai and Betnacional. As of September 30, 2026, the Group offers its products in approximately 100 countries. The Company is a public limited company incorporated and domiciled in the Republic of Ireland with operational headquarters in New York.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color w:val="auto"/>
        </w:rPr>
        <w:t>— These Unaudited Condensed Consolidated Financial Statements and accompanying notes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principles generally accepted in the United States of America (“U.S. GAAP” or “GAAP”) for interim reporting and the rules and regulations of the United States Securities and Exchange Commission (“SEC”). As such, certain notes or other information that are normally required by U.S. GAAP have been omitted if they substantially duplicate the disclosures contained in the Group’s audited consolidated financial statements as of and for the year ended December 31, 2025. Accordingly, these Unaudited Condensed Consolidated Financial Statements should be read in conjunction with the Group’s consolidated financial statements included in our Annual Report on Form 10-K for the fiscal year ended December 31, 2025, as filed with the SEC on February 26, 2026 (the “2025 Annual Report”). These Unaudited Condensed Consolidated Financial Statements are unaudited; however, in the opinion of management, they include all normal and recurring adjustments necessary for a fair presentation of the Group’s Unaudited Condensed Consolidated Financial Statements for the periods presented. Results of operations reported for interim periods are not necessarily indicative of results for the entire year, due to seasonal fluctuations in the Group’s revenue as a result of the timing of various sports seasons, sporting events and other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Not Yet Adopted</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which requires disclosure, in the notes to consolidated financial statements, of specified information about certain costs and expenses. The ASU’s amendments are effective for fiscal years beginning after December 15, 2026 and interim reporting periods within annual reporting periods beginning after December 15, 2027 with early adoption permitted. The Group is finalizing its assessment of the potential impacts of ASU 2024-03, which are expected to be limited to disclosure in the notes to the consolidated financial statements.</w:t>
      </w:r>
    </w:p>
    <w:p>
      <w:pPr>
        <w:spacing w:after="0" w:line="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Internal-Use Software, which implements improvements to the internal-use software guidance. The ASU’s amendments are effective for fiscal years beginning after December 15, 2027 and interim reporting periods within annual reporting periods beginning after December 15, 2027 with early adoption permitted at the beginning of an annual reporting period. The Group is currently assessing the timing of adoption and the potential impacts of ASU 2025-06.</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with the objective to more closely align hedge accounting with the economics of an entity’s risk management activities. The ASU’s amendments are effective for fiscal years beginning after December 15, 2026 and interim periods within those annual reporting periods with early adoption permitted on any date on or after the issuance of ASU 2025-09. The Group is currently assessing the timing of adoption and the potential impacts of ASU 2025-09. The Group does not expect material impacts resulting from the amendments.</w:t>
      </w:r>
    </w:p>
    <w:p>
      <w:pPr>
        <w:spacing w:after="0" w:line="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with the objective to improve the navigability and applicable guidance of the required interim disclosures. The ASU’s amendments are effective for interim reporting periods within annual reporting periods beginning after December 15, 2027. Early adoption is permitted for all entities. The amendments can be applied either prospectively or retrospectively to any or all prior periods presented in the consolidated financial statements. The Group is currently assessing the timing of adoption and the potential impacts of ASU 2025-11.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SEGMENTS AND 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has two reportable segments:</w:t>
      </w:r>
    </w:p>
    <w:p>
      <w:pPr>
        <w:spacing w:after="0" w:line="117" w:lineRule="exact"/>
        <w:rPr>
          <w:sz w:val="20"/>
          <w:szCs w:val="20"/>
          <w:color w:val="auto"/>
        </w:rPr>
      </w:pPr>
    </w:p>
    <w:p>
      <w:pPr>
        <w:ind w:left="660" w:hanging="57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w:t>
      </w:r>
    </w:p>
    <w:p>
      <w:pPr>
        <w:spacing w:after="0" w:line="117" w:lineRule="exact"/>
        <w:rPr>
          <w:rFonts w:ascii="Times New Roman" w:cs="Times New Roman" w:eastAsia="Times New Roman" w:hAnsi="Times New Roman"/>
          <w:sz w:val="18"/>
          <w:szCs w:val="18"/>
          <w:color w:val="auto"/>
        </w:rPr>
      </w:pPr>
    </w:p>
    <w:p>
      <w:pPr>
        <w:ind w:left="660" w:hanging="571"/>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Group’s chief operating decision maker (“CODM”) is the Group’s Chief Executive Officer.</w:t>
      </w:r>
    </w:p>
    <w:p>
      <w:pPr>
        <w:spacing w:after="0" w:line="11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CODM uses Adjusted EBITDA to allocate resources for each operating segment, which is derived predominantly from the annual budget and forecasting processes. The CODM evaluates performance based on the Adjusted EBITDA of each operating segment by comparing actual results to previously forecasted financial information on a monthly basis. Adjusted EBITDA of each segment is defined as net income (loss) before income taxes; other (expense) income, net; interest expense, net; depreciation and amortization; transaction fees and associated costs; restructuring and integration costs; legal settlements/(loss contingencies) and gaming tax disputes; impairment of property and equipment, intangible assets, right-of-use assets and goodwill and share-based compensation charges.</w:t>
      </w:r>
    </w:p>
    <w:p>
      <w:pPr>
        <w:spacing w:after="0" w:line="7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Group manages its assets on a total company basis, not by operating segment. As the CODM does not regularly review any asset information by operating segment, the Group therefore does not report asset information by operating segment.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Group’s segment revenue information:</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54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6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5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Sportsbook</w:t>
            </w: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r>
      <w:tr>
        <w:trPr>
          <w:trHeight w:val="270"/>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iGaming</w:t>
            </w:r>
            <w:r>
              <w:rPr>
                <w:rFonts w:ascii="Times New Roman" w:cs="Times New Roman" w:eastAsia="Times New Roman" w:hAnsi="Times New Roman"/>
                <w:sz w:val="23"/>
                <w:szCs w:val="23"/>
                <w:color w:val="auto"/>
                <w:vertAlign w:val="superscript"/>
              </w:rPr>
              <w:t>1</w:t>
            </w:r>
          </w:p>
        </w:tc>
        <w:tc>
          <w:tcPr>
            <w:tcW w:w="9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63"/>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64"/>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U.S. segment revenue</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1,368</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4,901</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4,825</w:t>
            </w:r>
          </w:p>
        </w:tc>
      </w:tr>
      <w:tr>
        <w:trPr>
          <w:trHeight w:val="25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Sportsbook</w:t>
            </w:r>
          </w:p>
        </w:tc>
        <w:tc>
          <w:tcPr>
            <w:tcW w:w="96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r>
      <w:tr>
        <w:trPr>
          <w:trHeight w:val="277"/>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iGaming</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r>
      <w:tr>
        <w:trPr>
          <w:trHeight w:val="264"/>
        </w:trPr>
        <w:tc>
          <w:tcPr>
            <w:tcW w:w="50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6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segment revenue</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7,603</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r>
      <w:tr>
        <w:trPr>
          <w:trHeight w:val="26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reportable segment revenue</w:t>
            </w: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3,874</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3,794</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12,504</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11,646</w:t>
            </w:r>
          </w:p>
        </w:tc>
      </w:tr>
    </w:tbl>
    <w:p>
      <w:pPr>
        <w:spacing w:after="0" w:line="288"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iGaming revenue for US includes iGaming and Poker and for International includes iGaming, Poker and Lottery.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disaggregated revenue for the International segment:</w:t>
      </w:r>
    </w:p>
    <w:p>
      <w:pPr>
        <w:spacing w:after="0" w:line="10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238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680" w:type="dxa"/>
            <w:vAlign w:val="bottom"/>
          </w:tcPr>
          <w:p>
            <w:pPr>
              <w:spacing w:after="0"/>
              <w:rPr>
                <w:sz w:val="20"/>
                <w:szCs w:val="20"/>
                <w:color w:val="auto"/>
              </w:rPr>
            </w:pPr>
          </w:p>
        </w:tc>
        <w:tc>
          <w:tcPr>
            <w:tcW w:w="23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r>
      <w:tr>
        <w:trPr>
          <w:trHeight w:val="259"/>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57"/>
        </w:trPr>
        <w:tc>
          <w:tcPr>
            <w:tcW w:w="46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UKI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r>
      <w:tr>
        <w:trPr>
          <w:trHeight w:val="27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Southern Europe and Africa </w:t>
            </w:r>
            <w:r>
              <w:rPr>
                <w:rFonts w:ascii="Times New Roman" w:cs="Times New Roman" w:eastAsia="Times New Roman" w:hAnsi="Times New Roman"/>
                <w:sz w:val="23"/>
                <w:szCs w:val="23"/>
                <w:color w:val="auto"/>
                <w:vertAlign w:val="superscript"/>
              </w:rPr>
              <w:t>2</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w:t>
            </w:r>
          </w:p>
        </w:tc>
      </w:tr>
      <w:tr>
        <w:trPr>
          <w:trHeight w:val="2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Asia Pacific </w:t>
            </w:r>
            <w:r>
              <w:rPr>
                <w:rFonts w:ascii="Times New Roman" w:cs="Times New Roman" w:eastAsia="Times New Roman" w:hAnsi="Times New Roman"/>
                <w:sz w:val="23"/>
                <w:szCs w:val="23"/>
                <w:color w:val="auto"/>
                <w:vertAlign w:val="superscript"/>
              </w:rPr>
              <w:t>3</w:t>
            </w:r>
          </w:p>
        </w:tc>
        <w:tc>
          <w:tcPr>
            <w:tcW w:w="9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7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Central and Eastern Europe </w:t>
            </w:r>
            <w:r>
              <w:rPr>
                <w:rFonts w:ascii="Times New Roman" w:cs="Times New Roman" w:eastAsia="Times New Roman" w:hAnsi="Times New Roman"/>
                <w:sz w:val="23"/>
                <w:szCs w:val="23"/>
                <w:color w:val="auto"/>
                <w:vertAlign w:val="superscript"/>
              </w:rPr>
              <w:t>4</w:t>
            </w:r>
          </w:p>
        </w:tc>
        <w:tc>
          <w:tcPr>
            <w:tcW w:w="92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7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Brazil </w:t>
            </w:r>
            <w:r>
              <w:rPr>
                <w:rFonts w:ascii="Times New Roman" w:cs="Times New Roman" w:eastAsia="Times New Roman" w:hAnsi="Times New Roman"/>
                <w:sz w:val="23"/>
                <w:szCs w:val="23"/>
                <w:color w:val="auto"/>
                <w:vertAlign w:val="superscript"/>
              </w:rPr>
              <w:t>5</w:t>
            </w:r>
          </w:p>
        </w:tc>
        <w:tc>
          <w:tcPr>
            <w:tcW w:w="920" w:type="dxa"/>
            <w:vAlign w:val="bottom"/>
            <w:shd w:val="clear" w:color="auto" w:fill="CCEEFF"/>
          </w:tcPr>
          <w:p>
            <w:pPr>
              <w:spacing w:after="0"/>
              <w:rPr>
                <w:sz w:val="23"/>
                <w:szCs w:val="2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regions </w:t>
            </w:r>
            <w:r>
              <w:rPr>
                <w:rFonts w:ascii="Times New Roman" w:cs="Times New Roman" w:eastAsia="Times New Roman" w:hAnsi="Times New Roman"/>
                <w:sz w:val="23"/>
                <w:szCs w:val="23"/>
                <w:color w:val="auto"/>
                <w:vertAlign w:val="superscript"/>
              </w:rPr>
              <w:t>6</w:t>
            </w:r>
          </w:p>
        </w:tc>
        <w:tc>
          <w:tcPr>
            <w:tcW w:w="9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50"/>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International segment revenue</w:t>
            </w:r>
          </w:p>
        </w:tc>
        <w:tc>
          <w:tcPr>
            <w:tcW w:w="92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10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2,426</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7,603</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6,821</w:t>
            </w:r>
          </w:p>
        </w:tc>
      </w:tr>
    </w:tbl>
    <w:p>
      <w:pPr>
        <w:spacing w:after="0" w:line="288"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UKI represents Sky Betting &amp; Gaming, Paddy Power and Betfair UK and Ireland operations as well as the tombola brand.</w:t>
      </w:r>
    </w:p>
    <w:p>
      <w:pPr>
        <w:spacing w:after="0" w:line="17" w:lineRule="exact"/>
        <w:rPr>
          <w:rFonts w:ascii="Times New Roman" w:cs="Times New Roman" w:eastAsia="Times New Roman" w:hAnsi="Times New Roman"/>
          <w:sz w:val="14"/>
          <w:szCs w:val="14"/>
          <w:color w:val="auto"/>
        </w:rPr>
      </w:pPr>
    </w:p>
    <w:p>
      <w:pPr>
        <w:ind w:left="340" w:right="260" w:hanging="332"/>
        <w:spacing w:after="0" w:line="24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Southern Europe and Africa comprises the Italian operations of our Sisal, Snai (effective from the acquisition date of April 30, 2025) and PokerStars brands as well as Sisal’s business in Türkiye and Morocco and PokerStars’ Southern European operations (beginning January 1, 2026).</w:t>
      </w: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Asia Pacific includes our Sportsbet business in Australia and Junglee in India (until August 22, 2025).</w:t>
      </w:r>
    </w:p>
    <w:p>
      <w:pPr>
        <w:spacing w:after="0" w:line="1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Central and Eastern Europe comprises Adjarabet in Georgia and Armenia together with MaxBet in Serbia, Bosnia and Herzegovina, North Macedonia and Montenegro.</w:t>
      </w:r>
    </w:p>
    <w:p>
      <w:pPr>
        <w:spacing w:after="0" w:line="14" w:lineRule="exact"/>
        <w:rPr>
          <w:rFonts w:ascii="Times New Roman" w:cs="Times New Roman" w:eastAsia="Times New Roman" w:hAnsi="Times New Roman"/>
          <w:sz w:val="14"/>
          <w:szCs w:val="14"/>
          <w:color w:val="auto"/>
        </w:rPr>
      </w:pPr>
    </w:p>
    <w:p>
      <w:pPr>
        <w:ind w:left="340" w:right="80" w:hanging="332"/>
        <w:spacing w:after="0" w:line="256"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Brazil reflects our Betfair and Betnacional (effective from the acquisition date of May 14, 2025) operations in the region. Following the Provisional Measure No. 1,394 (the “Measure”) announced on September 25, 2026 banning fixed-odds sports betting and online gaming, our operations in Brazil are currently ceased. In October 2026, the Group announced the closure of Betfair Brazil and the decision to focus on a single-brand strategy in Brazil intended to ensure an agile operating model to navigate the future regulatory environment.</w:t>
      </w:r>
    </w:p>
    <w:p>
      <w:pPr>
        <w:spacing w:after="0" w:line="1" w:lineRule="exact"/>
        <w:rPr>
          <w:rFonts w:ascii="Times New Roman" w:cs="Times New Roman" w:eastAsia="Times New Roman" w:hAnsi="Times New Roman"/>
          <w:sz w:val="14"/>
          <w:szCs w:val="14"/>
          <w:color w:val="auto"/>
        </w:rPr>
      </w:pPr>
    </w:p>
    <w:p>
      <w:pPr>
        <w:ind w:left="340" w:right="120" w:hanging="332"/>
        <w:spacing w:after="0" w:line="280"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regions comprise PokerStars’ non-Italian and Southern European operations (beginning January 1, 2026, PokerStars Southern Europe operations formed part of the Southern Europe and Africa region, and beginning April 1, 2026, PokerStars’ North America operations formed part of the US region, respectively) and Betfair’s International business excluding Betfair Brazil.</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below summarizes revenue from external customers by country for the three and nine months ended September 30, 2026 and 2025: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94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59"/>
        </w:trPr>
        <w:tc>
          <w:tcPr>
            <w:tcW w:w="340" w:type="dxa"/>
            <w:vAlign w:val="bottom"/>
          </w:tcPr>
          <w:p>
            <w:pPr>
              <w:spacing w:after="0"/>
              <w:rPr>
                <w:sz w:val="22"/>
                <w:szCs w:val="22"/>
                <w:color w:val="auto"/>
              </w:rPr>
            </w:pPr>
          </w:p>
        </w:tc>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20" w:type="dxa"/>
            <w:vAlign w:val="bottom"/>
          </w:tcPr>
          <w:p>
            <w:pPr>
              <w:spacing w:after="0"/>
              <w:rPr>
                <w:sz w:val="22"/>
                <w:szCs w:val="22"/>
                <w:color w:val="auto"/>
              </w:rPr>
            </w:pPr>
          </w:p>
        </w:tc>
      </w:tr>
      <w:tr>
        <w:trPr>
          <w:trHeight w:val="270"/>
        </w:trPr>
        <w:tc>
          <w:tcPr>
            <w:tcW w:w="340" w:type="dxa"/>
            <w:vAlign w:val="bottom"/>
          </w:tcPr>
          <w:p>
            <w:pPr>
              <w:spacing w:after="0"/>
              <w:rPr>
                <w:sz w:val="23"/>
                <w:szCs w:val="23"/>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320" w:type="dxa"/>
            <w:vAlign w:val="bottom"/>
          </w:tcPr>
          <w:p>
            <w:pPr>
              <w:spacing w:after="0"/>
              <w:rPr>
                <w:sz w:val="23"/>
                <w:szCs w:val="23"/>
                <w:color w:val="auto"/>
              </w:rPr>
            </w:pPr>
          </w:p>
        </w:tc>
      </w:tr>
      <w:tr>
        <w:trPr>
          <w:trHeight w:val="263"/>
        </w:trPr>
        <w:tc>
          <w:tcPr>
            <w:tcW w:w="34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320" w:type="dxa"/>
            <w:vAlign w:val="bottom"/>
          </w:tcPr>
          <w:p>
            <w:pPr>
              <w:spacing w:after="0"/>
              <w:rPr>
                <w:sz w:val="22"/>
                <w:szCs w:val="22"/>
                <w:color w:val="auto"/>
              </w:rPr>
            </w:pPr>
          </w:p>
        </w:tc>
      </w:tr>
      <w:tr>
        <w:trPr>
          <w:trHeight w:val="277"/>
        </w:trPr>
        <w:tc>
          <w:tcPr>
            <w:tcW w:w="340" w:type="dxa"/>
            <w:vAlign w:val="bottom"/>
          </w:tcPr>
          <w:p>
            <w:pPr>
              <w:spacing w:after="0"/>
              <w:rPr>
                <w:sz w:val="24"/>
                <w:szCs w:val="24"/>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320" w:type="dxa"/>
            <w:vAlign w:val="bottom"/>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2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20" w:type="dxa"/>
            <w:vAlign w:val="bottom"/>
          </w:tcPr>
          <w:p>
            <w:pPr>
              <w:spacing w:after="0"/>
              <w:rPr>
                <w:sz w:val="22"/>
                <w:szCs w:val="22"/>
                <w:color w:val="auto"/>
              </w:rPr>
            </w:pPr>
          </w:p>
        </w:tc>
      </w:tr>
      <w:tr>
        <w:trPr>
          <w:trHeight w:val="277"/>
        </w:trPr>
        <w:tc>
          <w:tcPr>
            <w:tcW w:w="340" w:type="dxa"/>
            <w:vAlign w:val="bottom"/>
          </w:tcPr>
          <w:p>
            <w:pPr>
              <w:spacing w:after="0"/>
              <w:rPr>
                <w:sz w:val="24"/>
                <w:szCs w:val="24"/>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20" w:type="dxa"/>
            <w:vAlign w:val="bottom"/>
          </w:tcPr>
          <w:p>
            <w:pPr>
              <w:spacing w:after="0"/>
              <w:rPr>
                <w:sz w:val="24"/>
                <w:szCs w:val="24"/>
                <w:color w:val="auto"/>
              </w:rPr>
            </w:pPr>
          </w:p>
        </w:tc>
      </w:tr>
      <w:tr>
        <w:trPr>
          <w:trHeight w:val="263"/>
        </w:trPr>
        <w:tc>
          <w:tcPr>
            <w:tcW w:w="340" w:type="dxa"/>
            <w:vAlign w:val="bottom"/>
          </w:tcPr>
          <w:p>
            <w:pPr>
              <w:spacing w:after="0"/>
              <w:rPr>
                <w:sz w:val="22"/>
                <w:szCs w:val="22"/>
                <w:color w:val="auto"/>
              </w:rPr>
            </w:pPr>
          </w:p>
        </w:tc>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the world</w:t>
            </w: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320" w:type="dxa"/>
            <w:vAlign w:val="bottom"/>
          </w:tcPr>
          <w:p>
            <w:pPr>
              <w:spacing w:after="0"/>
              <w:rPr>
                <w:sz w:val="22"/>
                <w:szCs w:val="22"/>
                <w:color w:val="auto"/>
              </w:rPr>
            </w:pPr>
          </w:p>
        </w:tc>
      </w:tr>
      <w:tr>
        <w:trPr>
          <w:trHeight w:val="264"/>
        </w:trPr>
        <w:tc>
          <w:tcPr>
            <w:tcW w:w="340" w:type="dxa"/>
            <w:vAlign w:val="bottom"/>
          </w:tcPr>
          <w:p>
            <w:pPr>
              <w:spacing w:after="0"/>
              <w:rPr>
                <w:sz w:val="22"/>
                <w:szCs w:val="22"/>
                <w:color w:val="auto"/>
              </w:rPr>
            </w:pP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3,874</w:t>
            </w:r>
          </w:p>
        </w:tc>
        <w:tc>
          <w:tcPr>
            <w:tcW w:w="8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11,646</w:t>
            </w:r>
          </w:p>
        </w:tc>
        <w:tc>
          <w:tcPr>
            <w:tcW w:w="320" w:type="dxa"/>
            <w:vAlign w:val="bottom"/>
          </w:tcPr>
          <w:p>
            <w:pPr>
              <w:spacing w:after="0"/>
              <w:rPr>
                <w:sz w:val="22"/>
                <w:szCs w:val="22"/>
                <w:color w:val="auto"/>
              </w:rPr>
            </w:pPr>
          </w:p>
        </w:tc>
      </w:tr>
      <w:tr>
        <w:trPr>
          <w:trHeight w:val="905"/>
        </w:trPr>
        <w:tc>
          <w:tcPr>
            <w:tcW w:w="3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01"/>
        </w:trPr>
        <w:tc>
          <w:tcPr>
            <w:tcW w:w="34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information below shows the reconciliation of reportable segment Adjusted EBITDA to income before income taxes for the three and nine months ended September 30, 2026 and 2025:</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2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0" w:type="dxa"/>
            <w:vAlign w:val="bottom"/>
            <w:gridSpan w:val="4"/>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76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2120" w:type="dxa"/>
            <w:vAlign w:val="bottom"/>
            <w:tcBorders>
              <w:bottom w:val="single" w:sz="8" w:color="auto"/>
            </w:tcBorders>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6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shd w:val="clear" w:color="auto" w:fill="CCEEFF"/>
          </w:tcPr>
          <w:p>
            <w:pPr>
              <w:spacing w:after="0"/>
              <w:rPr>
                <w:sz w:val="20"/>
                <w:szCs w:val="20"/>
                <w:color w:val="auto"/>
              </w:rPr>
            </w:pPr>
          </w:p>
        </w:tc>
      </w:tr>
      <w:tr>
        <w:trPr>
          <w:trHeight w:val="25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7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r>
      <w:tr>
        <w:trPr>
          <w:trHeight w:val="263"/>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7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 Adjusted EBITDA</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2,226</w:t>
            </w: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Unallocated corporate overhead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7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6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7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fees and associated costs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7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Restructuring and integration costs </w:t>
            </w:r>
            <w:r>
              <w:rPr>
                <w:rFonts w:ascii="Times New Roman" w:cs="Times New Roman" w:eastAsia="Times New Roman" w:hAnsi="Times New Roman"/>
                <w:sz w:val="23"/>
                <w:szCs w:val="23"/>
                <w:color w:val="auto"/>
                <w:vertAlign w:val="superscript"/>
              </w:rPr>
              <w:t>3</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Legal loss contingencies </w:t>
            </w:r>
            <w:r>
              <w:rPr>
                <w:rFonts w:ascii="Times New Roman" w:cs="Times New Roman" w:eastAsia="Times New Roman" w:hAnsi="Times New Roman"/>
                <w:sz w:val="23"/>
                <w:szCs w:val="23"/>
                <w:color w:val="auto"/>
                <w:vertAlign w:val="superscript"/>
              </w:rPr>
              <w:t>4</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7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7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3"/>
                <w:szCs w:val="23"/>
                <w:color w:val="auto"/>
                <w:vertAlign w:val="superscript"/>
              </w:rPr>
              <w:t>5</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r>
      <w:tr>
        <w:trPr>
          <w:trHeight w:val="257"/>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w:t>
            </w:r>
          </w:p>
        </w:tc>
        <w:tc>
          <w:tcPr>
            <w:tcW w:w="100" w:type="dxa"/>
            <w:vAlign w:val="bottom"/>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(1,308)</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r>
    </w:tbl>
    <w:p>
      <w:pPr>
        <w:spacing w:after="0" w:line="126" w:lineRule="exact"/>
        <w:rPr>
          <w:sz w:val="20"/>
          <w:szCs w:val="20"/>
          <w:color w:val="auto"/>
        </w:rPr>
      </w:pPr>
    </w:p>
    <w:p>
      <w:pPr>
        <w:ind w:left="340" w:right="400" w:hanging="332"/>
        <w:spacing w:after="0" w:line="282"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Unallocated corporate overhead includes shared technology, research and development, sales and marketing, and general and administrative expenses that are not allocated to specific segments.</w:t>
      </w:r>
    </w:p>
    <w:p>
      <w:pPr>
        <w:spacing w:after="0" w:line="13" w:lineRule="exact"/>
        <w:rPr>
          <w:rFonts w:ascii="Times New Roman" w:cs="Times New Roman" w:eastAsia="Times New Roman" w:hAnsi="Times New Roman"/>
          <w:sz w:val="14"/>
          <w:szCs w:val="14"/>
          <w:color w:val="auto"/>
        </w:rPr>
      </w:pPr>
    </w:p>
    <w:p>
      <w:pPr>
        <w:ind w:left="340" w:right="220" w:hanging="332"/>
        <w:spacing w:after="0" w:line="28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2026, transaction costs of $32 million primarily relate to the Group’s contribution to a super political action committee. During the three months ended September 30, 2025, transaction costs of $204 million primarily relate to the Boyd market access payment. During the nine months ended September 30, 2025, transaction costs of $224 million mainly relate to the Boyd market access payment and the Snai and NSX acquisitions.</w:t>
      </w:r>
    </w:p>
    <w:p>
      <w:pPr>
        <w:spacing w:after="0" w:line="15" w:lineRule="exact"/>
        <w:rPr>
          <w:rFonts w:ascii="Times New Roman" w:cs="Times New Roman" w:eastAsia="Times New Roman" w:hAnsi="Times New Roman"/>
          <w:sz w:val="14"/>
          <w:szCs w:val="14"/>
          <w:color w:val="auto"/>
        </w:rPr>
      </w:pPr>
    </w:p>
    <w:p>
      <w:pPr>
        <w:ind w:left="340" w:right="80" w:hanging="332"/>
        <w:spacing w:after="0" w:line="266"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2026, costs of $108 million and $254 million, respectively (three and nine months ended September 30, 2025: $59 million and $170 million, respectively) primarily relate to various restructuring, acquisition integration and other strategic initiatives to drive synergies. The programs are expected to run until 2029. These actions include efforts to consolidate and integrate our technology infrastructure, back-office functions and relocate certain operations to lower cost locations. It also includes business process re-engineering cost, planning and design of target operating models for the Group's enabling functions and discovery and planning related to the Group's anticipated migration to a new enterprise resource planning system. The costs primarily include severance expenses, advisory fees and temporary staffing costs.</w:t>
      </w:r>
    </w:p>
    <w:p>
      <w:pPr>
        <w:spacing w:after="0" w:line="25" w:lineRule="exact"/>
        <w:rPr>
          <w:rFonts w:ascii="Times New Roman" w:cs="Times New Roman" w:eastAsia="Times New Roman" w:hAnsi="Times New Roman"/>
          <w:sz w:val="14"/>
          <w:szCs w:val="14"/>
          <w:color w:val="auto"/>
        </w:rPr>
      </w:pPr>
    </w:p>
    <w:p>
      <w:pPr>
        <w:ind w:left="340" w:right="100" w:hanging="332"/>
        <w:spacing w:after="0" w:line="27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2026, $105 million relates to a provision recognized to facilitate a potential resolution of the Fast Code Class Action, partially offset by an adjustment in connection with the Indian GST matter (three months ended September 30, 2025: Nil). During the nine months ended September 30, 2026, $200 million relates to provisions recognized in connection with (i) a historical U.S. sales and use tax matter, (ii) the Fast Code Class Action and (iii) the Indian GST matter (nine months ended September 30, 2025: Nil).</w:t>
      </w:r>
    </w:p>
    <w:p>
      <w:pPr>
        <w:spacing w:after="0" w:line="21" w:lineRule="exact"/>
        <w:rPr>
          <w:rFonts w:ascii="Times New Roman" w:cs="Times New Roman" w:eastAsia="Times New Roman" w:hAnsi="Times New Roman"/>
          <w:sz w:val="14"/>
          <w:szCs w:val="14"/>
          <w:color w:val="auto"/>
        </w:rPr>
      </w:pPr>
    </w:p>
    <w:p>
      <w:pPr>
        <w:ind w:left="340" w:right="120" w:hanging="332"/>
        <w:spacing w:after="0" w:line="265"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2026, the Group recognized impairment charges of $873 million related to Brazil within the International segment, due to the previously disclosed challenging trading environment driven by government implemented socio-economic measures together with the Measure announced on September 25, 2026 banning fixed-odds sports betting and online gaming. Out of the total impairment charge of $873 million, $296 million is related to long-lived assets and $541 million is related to goodwill. Long-lived asset impairment charges primarily included $122 million related to the trademark, $108 million related to customer relationships, $31 million related to technology, and $22 million related to capitalized development costs. Trademark and customer relationships impairment charges were recognized in sales and marketing expenses; technology and capitalized development costs in technology, research and development expenses; and license cost in cost of sales. The impairment charges related to property, plant and equipment and right-of-use assets were recognized in general and administrative expenses.</w:t>
      </w:r>
    </w:p>
    <w:p>
      <w:pPr>
        <w:spacing w:after="0" w:line="24" w:lineRule="exact"/>
        <w:rPr>
          <w:rFonts w:ascii="Times New Roman" w:cs="Times New Roman" w:eastAsia="Times New Roman" w:hAnsi="Times New Roman"/>
          <w:sz w:val="14"/>
          <w:szCs w:val="14"/>
          <w:color w:val="auto"/>
        </w:rPr>
      </w:pPr>
    </w:p>
    <w:p>
      <w:pPr>
        <w:ind w:left="34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2025, the Group recognized impairment charges of $559 million mainly related to Junglee. The Promotion and Regulation of Online Gaming Act, 2025 (the “Act”), which was passed by the Indian Parliament and received Presidential assent on August 22, 2025, banned all forms of online real money gaming in India. As a result of the Act, from August 22, 2025, Junglee ceased offering all real-money games in India. The Junglee impairment charge is $556 million before income taxes. The assets impaired substantially consists of goodwill of $517 million, acquired and developed intangibles of $32 million and other long-lived assets of $7 million. The $517 million of goodwill impaired is not deductible for tax purposes, and therefore there was no income tax benefit. Income tax impacts arising for acquired and developed intangibles and other long-lived assets are not material.</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includes the significant segment expense categories that are regularly provided to the CODM and included in segment profit and loss for the three and nine months ended September 30, 2026 and 2025:</w:t>
      </w:r>
    </w:p>
    <w:p>
      <w:pPr>
        <w:spacing w:after="0" w:line="81"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7"/>
                <w:szCs w:val="17"/>
                <w:color w:val="auto"/>
              </w:rPr>
            </w:pPr>
          </w:p>
        </w:tc>
        <w:tc>
          <w:tcPr>
            <w:tcW w:w="262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r>
      <w:tr>
        <w:trPr>
          <w:trHeight w:val="25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4"/>
              </w:rPr>
              <w:t>2025</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3"/>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r>
      <w:tr>
        <w:trPr>
          <w:trHeight w:val="243"/>
        </w:trPr>
        <w:tc>
          <w:tcPr>
            <w:tcW w:w="456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w:t>
            </w:r>
          </w:p>
        </w:tc>
      </w:tr>
      <w:tr>
        <w:trPr>
          <w:trHeight w:val="270"/>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Technology, research and development expenses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456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Sales and marketing expenses</w:t>
            </w:r>
            <w:r>
              <w:rPr>
                <w:rFonts w:ascii="Times New Roman" w:cs="Times New Roman" w:eastAsia="Times New Roman" w:hAnsi="Times New Roman"/>
                <w:sz w:val="23"/>
                <w:szCs w:val="23"/>
                <w:color w:val="auto"/>
                <w:vertAlign w:val="superscript"/>
              </w:rPr>
              <w:t>3</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43"/>
        </w:trPr>
        <w:tc>
          <w:tcPr>
            <w:tcW w:w="4560" w:type="dxa"/>
            <w:vAlign w:val="bottom"/>
            <w:tcBorders>
              <w:bottom w:val="single" w:sz="8" w:color="CCEEFF"/>
            </w:tcBorders>
          </w:tcPr>
          <w:p>
            <w:pPr>
              <w:ind w:left="140"/>
              <w:spacing w:after="0" w:line="243"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7"/>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U.S. Adjusted EBITDA</w:t>
            </w: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612</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w:t>
            </w:r>
          </w:p>
        </w:tc>
      </w:tr>
      <w:tr>
        <w:trPr>
          <w:trHeight w:val="243"/>
        </w:trPr>
        <w:tc>
          <w:tcPr>
            <w:tcW w:w="456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Cost of sales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270"/>
        </w:trPr>
        <w:tc>
          <w:tcPr>
            <w:tcW w:w="4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 research and development expenses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43"/>
        </w:trPr>
        <w:tc>
          <w:tcPr>
            <w:tcW w:w="456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Sales and marketing expenses</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r>
      <w:tr>
        <w:trPr>
          <w:trHeight w:val="243"/>
        </w:trPr>
        <w:tc>
          <w:tcPr>
            <w:tcW w:w="456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8"/>
                <w:szCs w:val="18"/>
                <w:color w:val="auto"/>
              </w:rPr>
              <w:t>General and administrative expenses</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36"/>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International Adjusted EBITDA</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1,498</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1,614</w:t>
            </w:r>
          </w:p>
        </w:tc>
      </w:tr>
    </w:tbl>
    <w:p>
      <w:pPr>
        <w:spacing w:after="0" w:line="126" w:lineRule="exact"/>
        <w:rPr>
          <w:sz w:val="20"/>
          <w:szCs w:val="20"/>
          <w:color w:val="auto"/>
        </w:rPr>
      </w:pPr>
    </w:p>
    <w:p>
      <w:pPr>
        <w:ind w:left="340" w:right="560" w:hanging="251"/>
        <w:spacing w:after="0" w:line="282" w:lineRule="auto"/>
        <w:tabs>
          <w:tab w:leader="none" w:pos="24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Reportable segment cost of sales excludes amortization of certain capitalized development costs, impairment charges, share-based compensation of revenue-associated personnel and restructuring and integration cost directly associated with revenue-generating activities.</w:t>
      </w:r>
    </w:p>
    <w:p>
      <w:pPr>
        <w:spacing w:after="0" w:line="13" w:lineRule="exact"/>
        <w:rPr>
          <w:rFonts w:ascii="Times New Roman" w:cs="Times New Roman" w:eastAsia="Times New Roman" w:hAnsi="Times New Roman"/>
          <w:sz w:val="14"/>
          <w:szCs w:val="14"/>
          <w:color w:val="auto"/>
        </w:rPr>
      </w:pPr>
    </w:p>
    <w:p>
      <w:pPr>
        <w:ind w:left="340" w:right="280" w:hanging="251"/>
        <w:spacing w:after="0" w:line="301" w:lineRule="auto"/>
        <w:tabs>
          <w:tab w:leader="none" w:pos="24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Reportable segment technology, research and development expenses excludes share-based compensation for technology developers and product management employees, depreciation and amortization related to computer equipment and software not directly associated with revenue earning activities, impairment charges, and restructuring and integration costs.</w:t>
      </w:r>
    </w:p>
    <w:p>
      <w:pPr>
        <w:spacing w:after="0" w:line="1" w:lineRule="exact"/>
        <w:rPr>
          <w:rFonts w:ascii="Times New Roman" w:cs="Times New Roman" w:eastAsia="Times New Roman" w:hAnsi="Times New Roman"/>
          <w:sz w:val="14"/>
          <w:szCs w:val="14"/>
          <w:color w:val="auto"/>
        </w:rPr>
      </w:pPr>
    </w:p>
    <w:p>
      <w:pPr>
        <w:ind w:left="340" w:right="20" w:hanging="251"/>
        <w:spacing w:after="0" w:line="291" w:lineRule="auto"/>
        <w:tabs>
          <w:tab w:leader="none" w:pos="24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Reportable segment sales and marketing expenses exclude amortization of trademarks and customer relations, impairment charges, share-based compensation expenses of sales and marketing personnel and restructuring and integration costs.</w:t>
      </w:r>
    </w:p>
    <w:p>
      <w:pPr>
        <w:spacing w:after="0" w:line="1" w:lineRule="exact"/>
        <w:rPr>
          <w:rFonts w:ascii="Times New Roman" w:cs="Times New Roman" w:eastAsia="Times New Roman" w:hAnsi="Times New Roman"/>
          <w:sz w:val="14"/>
          <w:szCs w:val="14"/>
          <w:color w:val="auto"/>
        </w:rPr>
      </w:pPr>
    </w:p>
    <w:p>
      <w:pPr>
        <w:ind w:left="340" w:right="160" w:hanging="251"/>
        <w:spacing w:after="0" w:line="302" w:lineRule="auto"/>
        <w:tabs>
          <w:tab w:leader="none" w:pos="24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Reportable segment general and administrative expenses exclude share-based compensation for executive management, finance administration, legal and compliance, and human resources, impairment charges, depreciation and amortization, transaction fees and associated costs and restructuring and integration costs.</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table shows depreciation and amortization (excluding amortization of acquired intangibles), and share-based compensation expenses (excluding share-based compensation for the Group’s executive management, finance, legal and compliance, centralized operations, technology and human resources functions) by reportable segment that are regularly provided to the CODM for review for the three and nine months ended September 30, 2026 and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92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r>
      <w:tr>
        <w:trPr>
          <w:trHeight w:val="259"/>
        </w:trPr>
        <w:tc>
          <w:tcPr>
            <w:tcW w:w="340" w:type="dxa"/>
            <w:vAlign w:val="bottom"/>
          </w:tcPr>
          <w:p>
            <w:pPr>
              <w:spacing w:after="0"/>
              <w:rPr>
                <w:sz w:val="22"/>
                <w:szCs w:val="22"/>
                <w:color w:val="auto"/>
              </w:rPr>
            </w:pPr>
          </w:p>
        </w:tc>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22"/>
                <w:szCs w:val="22"/>
                <w:color w:val="auto"/>
              </w:rPr>
            </w:pPr>
          </w:p>
        </w:tc>
      </w:tr>
      <w:tr>
        <w:trPr>
          <w:trHeight w:val="230"/>
        </w:trPr>
        <w:tc>
          <w:tcPr>
            <w:tcW w:w="34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4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Depreciation and amortization excluding amortization of</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43"/>
        </w:trPr>
        <w:tc>
          <w:tcPr>
            <w:tcW w:w="340" w:type="dxa"/>
            <w:vAlign w:val="bottom"/>
          </w:tcPr>
          <w:p>
            <w:pPr>
              <w:spacing w:after="0"/>
              <w:rPr>
                <w:sz w:val="21"/>
                <w:szCs w:val="21"/>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intangibles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320" w:type="dxa"/>
            <w:vAlign w:val="bottom"/>
          </w:tcPr>
          <w:p>
            <w:pPr>
              <w:spacing w:after="0"/>
              <w:rPr>
                <w:sz w:val="21"/>
                <w:szCs w:val="21"/>
                <w:color w:val="auto"/>
              </w:rPr>
            </w:pPr>
          </w:p>
        </w:tc>
      </w:tr>
      <w:tr>
        <w:trPr>
          <w:trHeight w:val="236"/>
        </w:trPr>
        <w:tc>
          <w:tcPr>
            <w:tcW w:w="340" w:type="dxa"/>
            <w:vAlign w:val="bottom"/>
          </w:tcPr>
          <w:p>
            <w:pPr>
              <w:spacing w:after="0"/>
              <w:rPr>
                <w:sz w:val="20"/>
                <w:szCs w:val="20"/>
                <w:color w:val="auto"/>
              </w:rPr>
            </w:pPr>
          </w:p>
        </w:tc>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U.S.</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10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w:t>
            </w:r>
          </w:p>
        </w:tc>
        <w:tc>
          <w:tcPr>
            <w:tcW w:w="32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tcPr>
          <w:p>
            <w:pPr>
              <w:spacing w:after="0"/>
              <w:rPr>
                <w:sz w:val="19"/>
                <w:szCs w:val="19"/>
                <w:color w:val="auto"/>
              </w:rPr>
            </w:pPr>
          </w:p>
        </w:tc>
      </w:tr>
      <w:tr>
        <w:trPr>
          <w:trHeight w:val="189"/>
        </w:trPr>
        <w:tc>
          <w:tcPr>
            <w:tcW w:w="340" w:type="dxa"/>
            <w:vAlign w:val="bottom"/>
          </w:tcPr>
          <w:p>
            <w:pPr>
              <w:spacing w:after="0"/>
              <w:rPr>
                <w:sz w:val="16"/>
                <w:szCs w:val="16"/>
                <w:color w:val="auto"/>
              </w:rPr>
            </w:pPr>
          </w:p>
        </w:tc>
        <w:tc>
          <w:tcPr>
            <w:tcW w:w="4780" w:type="dxa"/>
            <w:vAlign w:val="bottom"/>
          </w:tcPr>
          <w:p>
            <w:pPr>
              <w:ind w:left="120"/>
              <w:spacing w:after="0" w:line="189" w:lineRule="exact"/>
              <w:rPr>
                <w:sz w:val="20"/>
                <w:szCs w:val="20"/>
                <w:color w:val="auto"/>
              </w:rPr>
            </w:pPr>
            <w:r>
              <w:rPr>
                <w:rFonts w:ascii="Times New Roman" w:cs="Times New Roman" w:eastAsia="Times New Roman" w:hAnsi="Times New Roman"/>
                <w:sz w:val="18"/>
                <w:szCs w:val="18"/>
                <w:color w:val="auto"/>
              </w:rPr>
              <w:t>Depreciation and amortization excluding amortization of</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43"/>
        </w:trPr>
        <w:tc>
          <w:tcPr>
            <w:tcW w:w="340" w:type="dxa"/>
            <w:vAlign w:val="bottom"/>
          </w:tcPr>
          <w:p>
            <w:pPr>
              <w:spacing w:after="0"/>
              <w:rPr>
                <w:sz w:val="21"/>
                <w:szCs w:val="21"/>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acquired intangibles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20" w:type="dxa"/>
            <w:vAlign w:val="bottom"/>
          </w:tcPr>
          <w:p>
            <w:pPr>
              <w:spacing w:after="0"/>
              <w:rPr>
                <w:sz w:val="21"/>
                <w:szCs w:val="21"/>
                <w:color w:val="auto"/>
              </w:rPr>
            </w:pPr>
          </w:p>
        </w:tc>
      </w:tr>
      <w:tr>
        <w:trPr>
          <w:trHeight w:val="243"/>
        </w:trPr>
        <w:tc>
          <w:tcPr>
            <w:tcW w:w="340" w:type="dxa"/>
            <w:vAlign w:val="bottom"/>
          </w:tcPr>
          <w:p>
            <w:pPr>
              <w:spacing w:after="0"/>
              <w:rPr>
                <w:sz w:val="21"/>
                <w:szCs w:val="21"/>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Pr>
          <w:p>
            <w:pPr>
              <w:spacing w:after="0"/>
              <w:rPr>
                <w:sz w:val="21"/>
                <w:szCs w:val="21"/>
                <w:color w:val="auto"/>
              </w:rPr>
            </w:pPr>
          </w:p>
        </w:tc>
      </w:tr>
      <w:tr>
        <w:trPr>
          <w:trHeight w:val="236"/>
        </w:trPr>
        <w:tc>
          <w:tcPr>
            <w:tcW w:w="34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International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80" w:type="dxa"/>
            <w:vAlign w:val="bottom"/>
          </w:tcPr>
          <w:p>
            <w:pPr>
              <w:spacing w:after="0"/>
              <w:rPr>
                <w:sz w:val="20"/>
                <w:szCs w:val="20"/>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c>
          <w:tcPr>
            <w:tcW w:w="100" w:type="dxa"/>
            <w:vAlign w:val="bottom"/>
          </w:tcPr>
          <w:p>
            <w:pPr>
              <w:spacing w:after="0"/>
              <w:rPr>
                <w:sz w:val="20"/>
                <w:szCs w:val="20"/>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320" w:type="dxa"/>
            <w:vAlign w:val="bottom"/>
          </w:tcPr>
          <w:p>
            <w:pPr>
              <w:spacing w:after="0"/>
              <w:rPr>
                <w:sz w:val="20"/>
                <w:szCs w:val="20"/>
                <w:color w:val="auto"/>
              </w:rPr>
            </w:pPr>
          </w:p>
        </w:tc>
      </w:tr>
      <w:tr>
        <w:trPr>
          <w:trHeight w:val="898"/>
        </w:trPr>
        <w:tc>
          <w:tcPr>
            <w:tcW w:w="34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4. OTHER INCOME, NET</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24"/>
        </w:trPr>
        <w:tc>
          <w:tcPr>
            <w:tcW w:w="9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shows the detail of other income, net for the three and nine months ended September 30, 2026 and 2025:</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5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r>
      <w:tr>
        <w:trPr>
          <w:trHeight w:val="259"/>
        </w:trPr>
        <w:tc>
          <w:tcPr>
            <w:tcW w:w="60" w:type="dxa"/>
            <w:vAlign w:val="bottom"/>
          </w:tcPr>
          <w:p>
            <w:pPr>
              <w:spacing w:after="0"/>
              <w:rPr>
                <w:sz w:val="22"/>
                <w:szCs w:val="22"/>
                <w:color w:val="auto"/>
              </w:rPr>
            </w:pPr>
          </w:p>
        </w:tc>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0"/>
        </w:trPr>
        <w:tc>
          <w:tcPr>
            <w:tcW w:w="60" w:type="dxa"/>
            <w:vAlign w:val="bottom"/>
          </w:tcPr>
          <w:p>
            <w:pPr>
              <w:spacing w:after="0"/>
              <w:rPr>
                <w:sz w:val="23"/>
                <w:szCs w:val="23"/>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63"/>
        </w:trPr>
        <w:tc>
          <w:tcPr>
            <w:tcW w:w="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(loss) gain on derivative instruments</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77"/>
        </w:trPr>
        <w:tc>
          <w:tcPr>
            <w:tcW w:w="60" w:type="dxa"/>
            <w:vAlign w:val="bottom"/>
          </w:tcPr>
          <w:p>
            <w:pPr>
              <w:spacing w:after="0"/>
              <w:rPr>
                <w:sz w:val="24"/>
                <w:szCs w:val="24"/>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settlement of long-term debt</w:t>
            </w: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3"/>
        </w:trPr>
        <w:tc>
          <w:tcPr>
            <w:tcW w:w="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related fees not eligible for capitalization</w:t>
            </w:r>
          </w:p>
        </w:tc>
        <w:tc>
          <w:tcPr>
            <w:tcW w:w="94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7"/>
        </w:trPr>
        <w:tc>
          <w:tcPr>
            <w:tcW w:w="60" w:type="dxa"/>
            <w:vAlign w:val="bottom"/>
          </w:tcPr>
          <w:p>
            <w:pPr>
              <w:spacing w:after="0"/>
              <w:rPr>
                <w:sz w:val="24"/>
                <w:szCs w:val="24"/>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disposals</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gain on Fox Option liability</w:t>
            </w:r>
          </w:p>
        </w:tc>
        <w:tc>
          <w:tcPr>
            <w:tcW w:w="9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70"/>
        </w:trPr>
        <w:tc>
          <w:tcPr>
            <w:tcW w:w="60" w:type="dxa"/>
            <w:vAlign w:val="bottom"/>
          </w:tcPr>
          <w:p>
            <w:pPr>
              <w:spacing w:after="0"/>
              <w:rPr>
                <w:sz w:val="23"/>
                <w:szCs w:val="23"/>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loss on investment</w:t>
            </w:r>
          </w:p>
        </w:tc>
        <w:tc>
          <w:tcPr>
            <w:tcW w:w="9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60" w:type="dxa"/>
            <w:vAlign w:val="bottom"/>
          </w:tcPr>
          <w:p>
            <w:pPr>
              <w:spacing w:after="0"/>
              <w:rPr>
                <w:sz w:val="22"/>
                <w:szCs w:val="22"/>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net</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INTEREST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detail of interest expense, net for the three and nine months ended September 30, 2026 and 2025:</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74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4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59"/>
        </w:trPr>
        <w:tc>
          <w:tcPr>
            <w:tcW w:w="40" w:type="dxa"/>
            <w:vAlign w:val="bottom"/>
          </w:tcPr>
          <w:p>
            <w:pPr>
              <w:spacing w:after="0"/>
              <w:rPr>
                <w:sz w:val="22"/>
                <w:szCs w:val="22"/>
                <w:color w:val="auto"/>
              </w:rPr>
            </w:pPr>
          </w:p>
        </w:tc>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2"/>
                <w:szCs w:val="22"/>
                <w:color w:val="auto"/>
              </w:rPr>
            </w:pPr>
          </w:p>
        </w:tc>
      </w:tr>
      <w:tr>
        <w:trPr>
          <w:trHeight w:val="211"/>
        </w:trPr>
        <w:tc>
          <w:tcPr>
            <w:tcW w:w="40" w:type="dxa"/>
            <w:vAlign w:val="bottom"/>
          </w:tcPr>
          <w:p>
            <w:pPr>
              <w:spacing w:after="0"/>
              <w:rPr>
                <w:sz w:val="18"/>
                <w:szCs w:val="18"/>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amortization of debt discount and expense on long-term</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40" w:type="dxa"/>
            <w:vAlign w:val="bottom"/>
          </w:tcPr>
          <w:p>
            <w:pPr>
              <w:spacing w:after="0"/>
              <w:rPr>
                <w:sz w:val="21"/>
                <w:szCs w:val="21"/>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bank guarantees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interest expense</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w:t>
            </w:r>
          </w:p>
        </w:tc>
        <w:tc>
          <w:tcPr>
            <w:tcW w:w="80" w:type="dxa"/>
            <w:vAlign w:val="bottom"/>
          </w:tcPr>
          <w:p>
            <w:pPr>
              <w:spacing w:after="0"/>
              <w:rPr>
                <w:sz w:val="22"/>
                <w:szCs w:val="22"/>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20" w:type="dxa"/>
            <w:vAlign w:val="bottom"/>
          </w:tcPr>
          <w:p>
            <w:pPr>
              <w:spacing w:after="0"/>
              <w:rPr>
                <w:sz w:val="22"/>
                <w:szCs w:val="22"/>
                <w:color w:val="auto"/>
              </w:rPr>
            </w:pPr>
          </w:p>
        </w:tc>
      </w:tr>
      <w:tr>
        <w:trPr>
          <w:trHeight w:val="905"/>
        </w:trPr>
        <w:tc>
          <w:tcPr>
            <w:tcW w:w="4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49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provision for income taxes and the effective tax rates for the three and nine months ended September 30, 2026:</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4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59"/>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(1,243)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7"/>
              </w:rPr>
              <w:t>(834)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(1,308)</w:t>
            </w:r>
          </w:p>
        </w:tc>
        <w:tc>
          <w:tcPr>
            <w:tcW w:w="8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(275)</w:t>
            </w:r>
          </w:p>
        </w:tc>
      </w:tr>
      <w:tr>
        <w:trPr>
          <w:trHeight w:val="263"/>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142</w:t>
            </w:r>
          </w:p>
        </w:tc>
      </w:tr>
      <w:tr>
        <w:trPr>
          <w:trHeight w:val="26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7.6 %</w:t>
            </w:r>
          </w:p>
        </w:tc>
        <w:tc>
          <w:tcPr>
            <w:tcW w:w="100" w:type="dxa"/>
            <w:vAlign w:val="bottom"/>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5.4 %</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5.6 %</w:t>
            </w:r>
          </w:p>
        </w:tc>
        <w:tc>
          <w:tcPr>
            <w:tcW w:w="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r>
    </w:tbl>
    <w:p>
      <w:pPr>
        <w:spacing w:after="0" w:line="18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months ended September 30, 2026 and 2025 is based on our projected annual effective tax rate for the applicable fiscal year, adjusted for specific items that are required to be recognized in the interim period in which they are incurred. The Group’s effective tax rate fluctuates based on, among other factors, where income is earned and the level of income relative to tax attributes.</w:t>
      </w:r>
    </w:p>
    <w:p>
      <w:pPr>
        <w:spacing w:after="0" w:line="6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change between the Group’s effective income tax rate of 7.6% and 5.4% for the three months ended September 30, 2026 and 2025, respectively, was primarily due to the net impact of jurisdictional mix of earnings and certain discrete items. The discrete items for these periods primarily comprised of the change in the fair value gain on the Fox Option liability, the loss making jurisdictions for which no tax benefit is recognized, and an increase in our liabilities for unrecognized tax benefits. For the three months ended September 30, 2026, discrete items also included the deferred tax benefits related to both the Brazil impairment of long-lived assets and the Australia Fast Code class action legal provision. For the three months ended September 30, 2025 discrete items also included deferred tax expense arising from the PokerStars transformation, income tax expense resulting from the reorganization of our Betfair Brazil business, and the Junglee goodwill impairment which was non-deductible for tax purposes.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change between the Group’s effective income tax rate of 5.6% and (51.6%) for the nine months ended September 30, 2026 and 2025, respectively, was primarily due to the net impact of jurisdictional mix of earnings and certain discrete items. The discrete items for these periods primarily comprised of the change in the fair value gain on the Fox Option liability, the loss making jurisdictions for which no tax benefit is recognized, and an increase in our liabilities for unrecognized tax benefits. For the nine months ended September 30, 2026, discrete items also included the deferred tax benefit related to both the Brazil impairment of long-lived assets and the Australia Fast Code class action legal provision. For the nine months ended September 30, 2025, discrete items also included deferred tax expense arising from the PokerStars transformation, income tax expense resulting from the reorganization of our Betfair Brazil business, and the Junglee goodwill impairment which is non-deductible for tax purposes. Additionally, the Group’s effective income tax rate was affected by a share-based compensation tax shortfall for the nine months ended September 30, 2026, compared with an excess tax benefit for the nine months ended September 30, 2025.</w:t>
      </w:r>
    </w:p>
    <w:p>
      <w:pPr>
        <w:spacing w:after="0" w:line="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year the Group files hundreds of tax returns in various national, state, and local income taxing jurisdictions in which it operates. These tax returns are subject to examination and possible challenge by the tax authorities. The Group has ongoing income tax audits in various jurisdictions and evaluates tax positions that may be challenged by tax authorities in accordance with accounting for income taxes and accounting for uncertainty in income taxes. As of September 30, 2026, we have recorded an additional $34 million of income tax expense and $11 million of interest and penalties related to unrecognized tax benefits.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previously reported, we have received a discovery assessment from His Majesty’s Revenue and Customs authority (“HMRC”) relating to an intragroup transfer of intellectual property from the United Kingdom to the United States for the year ended December 31, 2020. The Group previously recognized an unrecognized tax benefit of $9 million (£7 million) for the estimated settlement based on an affirmative adjustment submitted to HMRC in fiscal year 2023, which is included in Other non-current liabilities in the Unaudited Condensed Consolidated Balance Sheets. On September 30, 2026, HMRC issued a position paper setting out its view to adjust the Group’s UK taxable income. If HMRC’s position is ultimately upheld, this would result in an income tax liability of $383 million (£290 million) excluding interest. The Group disagrees with HMRC’s position, and is appealing this assessment. We do not expect to resolve this matter in the near term and will continue to assess the recognition and measurement criteria of the tax position. While the Group believes that we have strong arguments, there can be no assurance this matter will be resolved favorably.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previously reported, in May 2026, we received notices of amended assessments from the Australian Tax Office (“ATO”) relating to the valuation of intragroup royalties for fiscal years 2014 to 2021. The Group disputes the ATO’s amended assessment notices. In accordance with the ATO’s dispute resolution practices, the Group paid 50% of the assessed income tax (exclusive of interest and penalties) of $53 million (A$74 million) in the second quarter of 2026 to facilitate the formal appeal of the ATO’s assessment, with the balance of the assessments remaining unpaid pending final resolution of this matter. As of September 30, 2026, we recognized an unrecognized tax benefit that partially offset the 50% deposit payment; the remaining amount was recorded in Other non-current assets as a tax assessment deposit on the Unaudited Condensed Consolidated Balance Sheet. If the Group is ultimately successful, amounts prepaid to the ATO would be refunded. The Group does not expect to resolve this matter in the near term and will continue to reassess the recognition and measurement criteria of the tax position.</w:t>
      </w:r>
    </w:p>
    <w:p>
      <w:pPr>
        <w:spacing w:after="0" w:line="8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Effective from fiscal 2024, the Organization for Economic Co-operation and Development (OECD) Global Anti-Base Erosion (GLoBE) rules under Pillar Two have been enacted by various countries in which the Group operates. The Group currently does not expect a material impact to the effective tax rate in connection with Pillar Two for the current year ending December 31,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the Group’s basic and diluted net earnings per ordinary share attributable to the Group:</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7"/>
                <w:szCs w:val="17"/>
                <w:color w:val="auto"/>
              </w:rPr>
            </w:pPr>
          </w:p>
        </w:tc>
        <w:tc>
          <w:tcPr>
            <w:tcW w:w="272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50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0"/>
                <w:szCs w:val="20"/>
                <w:color w:val="auto"/>
              </w:rPr>
            </w:pPr>
          </w:p>
        </w:tc>
      </w:tr>
      <w:tr>
        <w:trPr>
          <w:trHeight w:val="26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3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 and redeemable non-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1"/>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 of redeemable non-controlling interest to redemption</w:t>
            </w: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4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center"/>
              <w:ind w:left="6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5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Flutter shareholders – basic and diluted</w:t>
            </w:r>
          </w:p>
        </w:tc>
        <w:tc>
          <w:tcPr>
            <w:tcW w:w="32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0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00" w:type="dxa"/>
            <w:vAlign w:val="bottom"/>
            <w:tcBorders>
              <w:bottom w:val="single" w:sz="8" w:color="CCEEFF"/>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56"/>
        </w:trPr>
        <w:tc>
          <w:tcPr>
            <w:tcW w:w="50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outstanding shares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175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4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6"/>
              </w:rPr>
              <w:t>175</w:t>
            </w:r>
          </w:p>
        </w:tc>
      </w:tr>
      <w:tr>
        <w:trPr>
          <w:trHeight w:val="26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stock awards</w:t>
            </w:r>
          </w:p>
        </w:tc>
        <w:tc>
          <w:tcPr>
            <w:tcW w:w="320" w:type="dxa"/>
            <w:vAlign w:val="bottom"/>
          </w:tcPr>
          <w:p>
            <w:pPr>
              <w:spacing w:after="0"/>
              <w:rPr>
                <w:sz w:val="22"/>
                <w:szCs w:val="22"/>
                <w:color w:val="auto"/>
              </w:rPr>
            </w:pPr>
          </w:p>
        </w:tc>
        <w:tc>
          <w:tcPr>
            <w:tcW w:w="12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2"/>
                <w:szCs w:val="22"/>
                <w:color w:val="auto"/>
              </w:rPr>
            </w:pPr>
          </w:p>
        </w:tc>
        <w:tc>
          <w:tcPr>
            <w:tcW w:w="1020" w:type="dxa"/>
            <w:vAlign w:val="bottom"/>
            <w:gridSpan w:val="2"/>
          </w:tcPr>
          <w:p>
            <w:pPr>
              <w:jc w:val="center"/>
              <w:ind w:left="43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Pr>
          <w:p>
            <w:pPr>
              <w:spacing w:after="0"/>
              <w:rPr>
                <w:sz w:val="22"/>
                <w:szCs w:val="22"/>
                <w:color w:val="auto"/>
              </w:rPr>
            </w:pPr>
          </w:p>
        </w:tc>
        <w:tc>
          <w:tcPr>
            <w:tcW w:w="124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spacing w:after="0"/>
              <w:rPr>
                <w:sz w:val="22"/>
                <w:szCs w:val="22"/>
                <w:color w:val="auto"/>
              </w:rPr>
            </w:pPr>
          </w:p>
        </w:tc>
        <w:tc>
          <w:tcPr>
            <w:tcW w:w="94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outstanding shares</w:t>
            </w:r>
          </w:p>
        </w:tc>
        <w:tc>
          <w:tcPr>
            <w:tcW w:w="32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6"/>
              </w:rPr>
              <w:t>175</w:t>
            </w:r>
          </w:p>
        </w:tc>
        <w:tc>
          <w:tcPr>
            <w:tcW w:w="100" w:type="dxa"/>
            <w:vAlign w:val="bottom"/>
            <w:tcBorders>
              <w:top w:val="single" w:sz="8" w:color="CCEEFF"/>
            </w:tcBorders>
            <w:shd w:val="clear" w:color="auto" w:fill="CCEEFF"/>
          </w:tcPr>
          <w:p>
            <w:pPr>
              <w:spacing w:after="0"/>
              <w:rPr>
                <w:sz w:val="23"/>
                <w:szCs w:val="23"/>
                <w:color w:val="auto"/>
              </w:rPr>
            </w:pPr>
          </w:p>
        </w:tc>
        <w:tc>
          <w:tcPr>
            <w:tcW w:w="5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6"/>
              </w:rPr>
              <w:t>175</w:t>
            </w:r>
          </w:p>
        </w:tc>
      </w:tr>
      <w:tr>
        <w:trPr>
          <w:trHeight w:val="270"/>
        </w:trPr>
        <w:tc>
          <w:tcPr>
            <w:tcW w:w="5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22"/>
                <w:szCs w:val="22"/>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options and restricted shares excluded from the diluted weighted average number of ordinary shares calculation due to their effect being</w:t>
      </w:r>
    </w:p>
    <w:p>
      <w:pPr>
        <w:spacing w:after="0" w:line="5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anti-dilutive was 2,328,633 and 1,542,924 for the three and nine months ended September 30, 2026, respectively (1,908,444 and 1,682,313 for the three and nine months ended September 30, 2025, respectively).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CHANGES IN 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changes in accumulated other comprehensive income (loss) by component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gains and</w:t>
            </w:r>
          </w:p>
        </w:tc>
        <w:tc>
          <w:tcPr>
            <w:tcW w:w="180" w:type="dxa"/>
            <w:vAlign w:val="bottom"/>
          </w:tcPr>
          <w:p>
            <w:pPr>
              <w:spacing w:after="0"/>
              <w:rPr>
                <w:sz w:val="17"/>
                <w:szCs w:val="17"/>
                <w:color w:val="auto"/>
              </w:rPr>
            </w:pPr>
          </w:p>
        </w:tc>
        <w:tc>
          <w:tcPr>
            <w:tcW w:w="112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Foreign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 on</w:t>
            </w:r>
          </w:p>
        </w:tc>
        <w:tc>
          <w:tcPr>
            <w:tcW w:w="18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available-</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Gains and</w:t>
            </w:r>
          </w:p>
        </w:tc>
        <w:tc>
          <w:tcPr>
            <w:tcW w:w="160" w:type="dxa"/>
            <w:vAlign w:val="bottom"/>
          </w:tcPr>
          <w:p>
            <w:pPr>
              <w:spacing w:after="0"/>
              <w:rPr>
                <w:sz w:val="17"/>
                <w:szCs w:val="17"/>
                <w:color w:val="auto"/>
              </w:rPr>
            </w:pPr>
          </w:p>
        </w:tc>
        <w:tc>
          <w:tcPr>
            <w:tcW w:w="10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6"/>
              </w:rPr>
              <w:t>for-sale</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net of net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 on cash</w:t>
            </w:r>
          </w:p>
        </w:tc>
        <w:tc>
          <w:tcPr>
            <w:tcW w:w="160" w:type="dxa"/>
            <w:vAlign w:val="bottom"/>
          </w:tcPr>
          <w:p>
            <w:pPr>
              <w:spacing w:after="0"/>
              <w:rPr>
                <w:sz w:val="17"/>
                <w:szCs w:val="17"/>
                <w:color w:val="auto"/>
              </w:rPr>
            </w:pPr>
          </w:p>
        </w:tc>
        <w:tc>
          <w:tcPr>
            <w:tcW w:w="108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debt</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 flow hedges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 securities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(1,248)</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(before tax)</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Tax effect </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 net of tax</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Group uses the portfolio approach for releasing income tax effects from accumulated other comprehensive income (loss).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8"/>
                <w:szCs w:val="18"/>
                <w:color w:val="auto"/>
              </w:rPr>
            </w:pPr>
          </w:p>
        </w:tc>
        <w:tc>
          <w:tcPr>
            <w:tcW w:w="11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Foreign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gains and</w:t>
            </w: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losses on</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available-</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Gains and</w:t>
            </w:r>
          </w:p>
        </w:tc>
        <w:tc>
          <w:tcPr>
            <w:tcW w:w="16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for- sale</w:t>
            </w:r>
          </w:p>
        </w:tc>
        <w:tc>
          <w:tcPr>
            <w:tcW w:w="18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net of net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 on cash</w:t>
            </w:r>
          </w:p>
        </w:tc>
        <w:tc>
          <w:tcPr>
            <w:tcW w:w="160" w:type="dxa"/>
            <w:vAlign w:val="bottom"/>
          </w:tcPr>
          <w:p>
            <w:pPr>
              <w:spacing w:after="0"/>
              <w:rPr>
                <w:sz w:val="17"/>
                <w:szCs w:val="17"/>
                <w:color w:val="auto"/>
              </w:rPr>
            </w:pPr>
          </w:p>
        </w:tc>
        <w:tc>
          <w:tcPr>
            <w:tcW w:w="108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debt</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5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 flow hedges</w:t>
            </w: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 securities  </w:t>
            </w: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5"/>
              </w:rPr>
              <w:t>   Total</w:t>
            </w:r>
          </w:p>
        </w:tc>
        <w:tc>
          <w:tcPr>
            <w:tcW w:w="0" w:type="dxa"/>
            <w:vAlign w:val="bottom"/>
          </w:tcPr>
          <w:p>
            <w:pPr>
              <w:spacing w:after="0"/>
              <w:rPr>
                <w:sz w:val="1"/>
                <w:szCs w:val="1"/>
                <w:color w:val="auto"/>
              </w:rPr>
            </w:pPr>
          </w:p>
        </w:tc>
      </w:tr>
      <w:tr>
        <w:trPr>
          <w:trHeight w:val="270"/>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w:t>
            </w:r>
          </w:p>
        </w:tc>
        <w:tc>
          <w:tcPr>
            <w:tcW w:w="0" w:type="dxa"/>
            <w:vAlign w:val="bottom"/>
          </w:tcPr>
          <w:p>
            <w:pPr>
              <w:spacing w:after="0"/>
              <w:rPr>
                <w:sz w:val="1"/>
                <w:szCs w:val="1"/>
                <w:color w:val="auto"/>
              </w:rPr>
            </w:pPr>
          </w:p>
        </w:tc>
      </w:tr>
      <w:tr>
        <w:trPr>
          <w:trHeight w:val="263"/>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45"/>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80" w:type="dxa"/>
            <w:vAlign w:val="bottom"/>
            <w:shd w:val="clear" w:color="auto" w:fill="CCEEFF"/>
          </w:tcPr>
          <w:p>
            <w:pPr>
              <w:spacing w:after="0"/>
              <w:rPr>
                <w:sz w:val="21"/>
                <w:szCs w:val="2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21"/>
                <w:szCs w:val="2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4"/>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w:t>
            </w:r>
          </w:p>
        </w:tc>
        <w:tc>
          <w:tcPr>
            <w:tcW w:w="1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0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 (before tax)</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89"/>
        </w:trPr>
        <w:tc>
          <w:tcPr>
            <w:tcW w:w="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Tax effect</w:t>
            </w: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shd w:val="clear" w:color="auto" w:fill="CCEEFF"/>
              </w:rPr>
              <w:t>1</w:t>
            </w:r>
          </w:p>
        </w:tc>
        <w:tc>
          <w:tcPr>
            <w:tcW w:w="418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8"/>
        </w:trPr>
        <w:tc>
          <w:tcPr>
            <w:tcW w:w="800" w:type="dxa"/>
            <w:vAlign w:val="bottom"/>
            <w:tcBorders>
              <w:bottom w:val="single" w:sz="8" w:color="CCEEFF"/>
            </w:tcBorders>
            <w:vMerge w:val="continue"/>
            <w:shd w:val="clear" w:color="auto" w:fill="CCEEFF"/>
          </w:tcPr>
          <w:p>
            <w:pPr>
              <w:spacing w:after="0"/>
              <w:rPr>
                <w:sz w:val="7"/>
                <w:szCs w:val="7"/>
                <w:color w:val="auto"/>
              </w:rPr>
            </w:pPr>
          </w:p>
        </w:tc>
        <w:tc>
          <w:tcPr>
            <w:tcW w:w="40" w:type="dxa"/>
            <w:vAlign w:val="bottom"/>
            <w:tcBorders>
              <w:bottom w:val="single" w:sz="8" w:color="CCEEFF"/>
            </w:tcBorders>
            <w:shd w:val="clear" w:color="auto" w:fill="CCEEFF"/>
          </w:tcPr>
          <w:p>
            <w:pPr>
              <w:spacing w:after="0"/>
              <w:rPr>
                <w:sz w:val="7"/>
                <w:szCs w:val="7"/>
                <w:color w:val="auto"/>
              </w:rPr>
            </w:pPr>
          </w:p>
        </w:tc>
        <w:tc>
          <w:tcPr>
            <w:tcW w:w="418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060" w:type="dxa"/>
            <w:vAlign w:val="bottom"/>
            <w:tcBorders>
              <w:bottom w:val="single" w:sz="8" w:color="CCEEFF"/>
            </w:tcBorders>
            <w:vMerge w:val="continue"/>
            <w:shd w:val="clear" w:color="auto" w:fill="CCEEFF"/>
          </w:tcPr>
          <w:p>
            <w:pPr>
              <w:spacing w:after="0"/>
              <w:rPr>
                <w:sz w:val="7"/>
                <w:szCs w:val="7"/>
                <w:color w:val="auto"/>
              </w:rPr>
            </w:pPr>
          </w:p>
        </w:tc>
        <w:tc>
          <w:tcPr>
            <w:tcW w:w="140" w:type="dxa"/>
            <w:vAlign w:val="bottom"/>
            <w:tcBorders>
              <w:bottom w:val="single" w:sz="8" w:color="CCEEFF"/>
            </w:tcBorders>
            <w:shd w:val="clear" w:color="auto" w:fill="CCEEFF"/>
          </w:tcPr>
          <w:p>
            <w:pPr>
              <w:spacing w:after="0"/>
              <w:rPr>
                <w:sz w:val="7"/>
                <w:szCs w:val="7"/>
                <w:color w:val="auto"/>
              </w:rPr>
            </w:pPr>
          </w:p>
        </w:tc>
        <w:tc>
          <w:tcPr>
            <w:tcW w:w="110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080" w:type="dxa"/>
            <w:vAlign w:val="bottom"/>
            <w:tcBorders>
              <w:bottom w:val="single" w:sz="8" w:color="CCEEFF"/>
            </w:tcBorders>
            <w:vMerge w:val="continue"/>
            <w:shd w:val="clear" w:color="auto" w:fill="CCEEFF"/>
          </w:tcPr>
          <w:p>
            <w:pPr>
              <w:spacing w:after="0"/>
              <w:rPr>
                <w:sz w:val="7"/>
                <w:szCs w:val="7"/>
                <w:color w:val="auto"/>
              </w:rPr>
            </w:pPr>
          </w:p>
        </w:tc>
        <w:tc>
          <w:tcPr>
            <w:tcW w:w="180" w:type="dxa"/>
            <w:vAlign w:val="bottom"/>
            <w:tcBorders>
              <w:bottom w:val="single" w:sz="8" w:color="CCEEFF"/>
            </w:tcBorders>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 net of tax</w:t>
            </w: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57"/>
        </w:trPr>
        <w:tc>
          <w:tcPr>
            <w:tcW w:w="5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Group uses the portfolio approach for releasing income tax effects from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gains and</w:t>
            </w:r>
          </w:p>
        </w:tc>
        <w:tc>
          <w:tcPr>
            <w:tcW w:w="180" w:type="dxa"/>
            <w:vAlign w:val="bottom"/>
          </w:tcPr>
          <w:p>
            <w:pPr>
              <w:spacing w:after="0"/>
              <w:rPr>
                <w:sz w:val="17"/>
                <w:szCs w:val="17"/>
                <w:color w:val="auto"/>
              </w:rPr>
            </w:pPr>
          </w:p>
        </w:tc>
        <w:tc>
          <w:tcPr>
            <w:tcW w:w="1120" w:type="dxa"/>
            <w:vAlign w:val="bottom"/>
          </w:tcPr>
          <w:p>
            <w:pPr>
              <w:jc w:val="right"/>
              <w:ind w:right="270"/>
              <w:spacing w:after="0" w:line="202" w:lineRule="exact"/>
              <w:rPr>
                <w:sz w:val="20"/>
                <w:szCs w:val="20"/>
                <w:color w:val="auto"/>
              </w:rPr>
            </w:pPr>
            <w:r>
              <w:rPr>
                <w:rFonts w:ascii="Times New Roman" w:cs="Times New Roman" w:eastAsia="Times New Roman" w:hAnsi="Times New Roman"/>
                <w:sz w:val="18"/>
                <w:szCs w:val="18"/>
                <w:b w:val="1"/>
                <w:bCs w:val="1"/>
                <w:color w:val="auto"/>
              </w:rPr>
              <w:t>Foreign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 on</w:t>
            </w:r>
          </w:p>
        </w:tc>
        <w:tc>
          <w:tcPr>
            <w:tcW w:w="18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3"/>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rPr>
              <w:t>available-</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Gains and</w:t>
            </w:r>
          </w:p>
        </w:tc>
        <w:tc>
          <w:tcPr>
            <w:tcW w:w="160" w:type="dxa"/>
            <w:vAlign w:val="bottom"/>
          </w:tcPr>
          <w:p>
            <w:pPr>
              <w:spacing w:after="0"/>
              <w:rPr>
                <w:sz w:val="17"/>
                <w:szCs w:val="17"/>
                <w:color w:val="auto"/>
              </w:rPr>
            </w:pPr>
          </w:p>
        </w:tc>
        <w:tc>
          <w:tcPr>
            <w:tcW w:w="108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sale</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net of net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 on cash</w:t>
            </w:r>
          </w:p>
        </w:tc>
        <w:tc>
          <w:tcPr>
            <w:tcW w:w="160" w:type="dxa"/>
            <w:vAlign w:val="bottom"/>
          </w:tcPr>
          <w:p>
            <w:pPr>
              <w:spacing w:after="0"/>
              <w:rPr>
                <w:sz w:val="17"/>
                <w:szCs w:val="17"/>
                <w:color w:val="auto"/>
              </w:rPr>
            </w:pPr>
          </w:p>
        </w:tc>
        <w:tc>
          <w:tcPr>
            <w:tcW w:w="108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debt</w:t>
            </w:r>
          </w:p>
        </w:tc>
        <w:tc>
          <w:tcPr>
            <w:tcW w:w="18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investment</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 flow hedges</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 securities</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(880)</w:t>
            </w:r>
          </w:p>
        </w:tc>
      </w:tr>
      <w:tr>
        <w:trPr>
          <w:trHeight w:val="26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8"/>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 before tax</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77"/>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Tax effect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(loss) income, net of tax</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6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Group uses the portfolio approach for releasing income tax effects from accumulated other comprehensive income (loss).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10"/>
              <w:spacing w:after="0" w:line="202" w:lineRule="exact"/>
              <w:rPr>
                <w:sz w:val="20"/>
                <w:szCs w:val="20"/>
                <w:color w:val="auto"/>
              </w:rPr>
            </w:pPr>
            <w:r>
              <w:rPr>
                <w:rFonts w:ascii="Times New Roman" w:cs="Times New Roman" w:eastAsia="Times New Roman" w:hAnsi="Times New Roman"/>
                <w:sz w:val="18"/>
                <w:szCs w:val="18"/>
                <w:b w:val="1"/>
                <w:bCs w:val="1"/>
                <w:color w:val="auto"/>
                <w:w w:val="97"/>
              </w:rPr>
              <w:t>gains and</w:t>
            </w:r>
          </w:p>
        </w:tc>
        <w:tc>
          <w:tcPr>
            <w:tcW w:w="160" w:type="dxa"/>
            <w:vAlign w:val="bottom"/>
          </w:tcPr>
          <w:p>
            <w:pPr>
              <w:spacing w:after="0"/>
              <w:rPr>
                <w:sz w:val="17"/>
                <w:szCs w:val="17"/>
                <w:color w:val="auto"/>
              </w:rPr>
            </w:pPr>
          </w:p>
        </w:tc>
        <w:tc>
          <w:tcPr>
            <w:tcW w:w="112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Foreign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losses on</w:t>
            </w:r>
          </w:p>
        </w:tc>
        <w:tc>
          <w:tcPr>
            <w:tcW w:w="160" w:type="dxa"/>
            <w:vAlign w:val="bottom"/>
          </w:tcPr>
          <w:p>
            <w:pPr>
              <w:spacing w:after="0"/>
              <w:rPr>
                <w:sz w:val="18"/>
                <w:szCs w:val="18"/>
                <w:color w:val="auto"/>
              </w:rPr>
            </w:pPr>
          </w:p>
        </w:tc>
        <w:tc>
          <w:tcPr>
            <w:tcW w:w="11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rPr>
              <w:t>available-</w:t>
            </w:r>
          </w:p>
        </w:tc>
        <w:tc>
          <w:tcPr>
            <w:tcW w:w="16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translation,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Gains and</w:t>
            </w:r>
          </w:p>
        </w:tc>
        <w:tc>
          <w:tcPr>
            <w:tcW w:w="16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 sale</w:t>
            </w:r>
          </w:p>
        </w:tc>
        <w:tc>
          <w:tcPr>
            <w:tcW w:w="16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net of net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7"/>
                <w:szCs w:val="17"/>
                <w:color w:val="auto"/>
              </w:rPr>
            </w:pPr>
          </w:p>
        </w:tc>
        <w:tc>
          <w:tcPr>
            <w:tcW w:w="110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loss on cash</w:t>
            </w:r>
          </w:p>
        </w:tc>
        <w:tc>
          <w:tcPr>
            <w:tcW w:w="160" w:type="dxa"/>
            <w:vAlign w:val="bottom"/>
          </w:tcPr>
          <w:p>
            <w:pPr>
              <w:spacing w:after="0"/>
              <w:rPr>
                <w:sz w:val="17"/>
                <w:szCs w:val="17"/>
                <w:color w:val="auto"/>
              </w:rPr>
            </w:pPr>
          </w:p>
        </w:tc>
        <w:tc>
          <w:tcPr>
            <w:tcW w:w="1100" w:type="dxa"/>
            <w:vAlign w:val="bottom"/>
          </w:tcPr>
          <w:p>
            <w:pPr>
              <w:jc w:val="center"/>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debt</w:t>
            </w:r>
          </w:p>
        </w:tc>
        <w:tc>
          <w:tcPr>
            <w:tcW w:w="160" w:type="dxa"/>
            <w:vAlign w:val="bottom"/>
          </w:tcPr>
          <w:p>
            <w:pPr>
              <w:spacing w:after="0"/>
              <w:rPr>
                <w:sz w:val="17"/>
                <w:szCs w:val="17"/>
                <w:color w:val="auto"/>
              </w:rPr>
            </w:pPr>
          </w:p>
        </w:tc>
        <w:tc>
          <w:tcPr>
            <w:tcW w:w="11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investment</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9"/>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hedges</w:t>
            </w: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 flow hedges</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 securities  </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   Total</w:t>
            </w:r>
          </w:p>
        </w:tc>
      </w:tr>
      <w:tr>
        <w:trPr>
          <w:trHeight w:val="27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(1,927)</w:t>
            </w:r>
          </w:p>
        </w:tc>
      </w:tr>
      <w:tr>
        <w:trPr>
          <w:trHeight w:val="263"/>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31"/>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48"/>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57"/>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 before tax</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7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Tax effect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 net of tax</w:t>
            </w: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r>
      <w:tr>
        <w:trPr>
          <w:trHeight w:val="257"/>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(1,061)</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The Group uses the portfolio approach for releasing income tax effects from accumulated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PREPAID EXPENSES AND OTHER CURRENT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September 30, 2026, and 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76"/>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76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Prepayments and accrued income</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6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receivable</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Value-added tax and goods and services tax</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6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Borders>
              <w:bottom w:val="single" w:sz="8" w:color="auto"/>
            </w:tcBorders>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prepaid expenses and other current assets</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899</w:t>
            </w:r>
          </w:p>
        </w:tc>
        <w:tc>
          <w:tcPr>
            <w:tcW w:w="60" w:type="dxa"/>
            <w:vAlign w:val="bottom"/>
          </w:tcPr>
          <w:p>
            <w:pPr>
              <w:spacing w:after="0"/>
              <w:rPr>
                <w:sz w:val="22"/>
                <w:szCs w:val="22"/>
                <w:color w:val="auto"/>
              </w:rPr>
            </w:pPr>
          </w:p>
        </w:tc>
        <w:tc>
          <w:tcPr>
            <w:tcW w:w="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1"/>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OTHER CURRENT LIABILITIES</w:t>
            </w: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 consisted of the following as of September 30, 2026, and December 31, 2025: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184"/>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vMerge w:val="continue"/>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60" w:type="dxa"/>
            <w:vAlign w:val="bottom"/>
            <w:shd w:val="clear" w:color="auto" w:fill="CCEEFF"/>
          </w:tcPr>
          <w:p>
            <w:pPr>
              <w:spacing w:after="0"/>
              <w:rPr>
                <w:sz w:val="22"/>
                <w:szCs w:val="22"/>
                <w:color w:val="auto"/>
              </w:rPr>
            </w:pPr>
          </w:p>
        </w:tc>
        <w:tc>
          <w:tcPr>
            <w:tcW w:w="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Betting duty, excise tax, data rights, and racefield fees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benefits and social security</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Liability-classified share-based awards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 betting open positions</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liabilities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contingencies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Value-added tax and goods and services tax</w:t>
            </w:r>
          </w:p>
        </w:tc>
        <w:tc>
          <w:tcPr>
            <w:tcW w:w="6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2,752</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Loss contingencies include accruals related to regulatory investigations and proceedings including those relating to gaming taxes to the extent to which they may apply to our business and industry.</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Group includes the contract liability in relation to sports betting open positions in the Unaudited Condensed Consolidated Balance Sheets. The contract liability balance was as follows:</w:t>
      </w:r>
    </w:p>
    <w:p>
      <w:pPr>
        <w:spacing w:after="0" w:line="81" w:lineRule="exact"/>
        <w:rPr>
          <w:sz w:val="20"/>
          <w:szCs w:val="20"/>
          <w:color w:val="auto"/>
        </w:rPr>
      </w:pPr>
    </w:p>
    <w:tbl>
      <w:tblPr>
        <w:tblLayout w:type="fixed"/>
        <w:tblInd w:w="2420" w:type="dxa"/>
        <w:tblCellMar>
          <w:top w:w="0" w:type="dxa"/>
          <w:left w:w="0" w:type="dxa"/>
          <w:bottom w:w="0" w:type="dxa"/>
          <w:right w:w="0" w:type="dxa"/>
        </w:tblCellMar>
      </w:tblPr>
      <w:tr>
        <w:trPr>
          <w:trHeight w:val="207"/>
        </w:trPr>
        <w:tc>
          <w:tcPr>
            <w:tcW w:w="3960" w:type="dxa"/>
            <w:vAlign w:val="bottom"/>
          </w:tcPr>
          <w:p>
            <w:pPr>
              <w:spacing w:after="0"/>
              <w:rPr>
                <w:sz w:val="18"/>
                <w:szCs w:val="18"/>
                <w:color w:val="auto"/>
              </w:rPr>
            </w:pPr>
          </w:p>
        </w:tc>
        <w:tc>
          <w:tcPr>
            <w:tcW w:w="24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180"/>
        </w:trPr>
        <w:tc>
          <w:tcPr>
            <w:tcW w:w="39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80" w:type="dxa"/>
            <w:vAlign w:val="bottom"/>
          </w:tcPr>
          <w:p>
            <w:pPr>
              <w:jc w:val="center"/>
              <w:ind w:left="2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3960" w:type="dxa"/>
            <w:vAlign w:val="bottom"/>
            <w:vMerge w:val="continue"/>
          </w:tcPr>
          <w:p>
            <w:pPr>
              <w:spacing w:after="0"/>
              <w:rPr>
                <w:sz w:val="20"/>
                <w:szCs w:val="20"/>
                <w:color w:val="auto"/>
              </w:rPr>
            </w:pPr>
          </w:p>
        </w:tc>
        <w:tc>
          <w:tcPr>
            <w:tcW w:w="24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0" w:type="dxa"/>
            <w:vAlign w:val="bottom"/>
          </w:tcPr>
          <w:p>
            <w:pPr>
              <w:spacing w:after="0"/>
              <w:rPr>
                <w:sz w:val="1"/>
                <w:szCs w:val="1"/>
                <w:color w:val="auto"/>
              </w:rPr>
            </w:pPr>
          </w:p>
        </w:tc>
      </w:tr>
      <w:tr>
        <w:trPr>
          <w:trHeight w:val="27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Contract liability, beginning of the period </w:t>
            </w:r>
            <w:r>
              <w:rPr>
                <w:rFonts w:ascii="Times New Roman" w:cs="Times New Roman" w:eastAsia="Times New Roman" w:hAnsi="Times New Roman"/>
                <w:sz w:val="23"/>
                <w:szCs w:val="23"/>
                <w:color w:val="auto"/>
                <w:vertAlign w:val="superscript"/>
              </w:rPr>
              <w:t>1</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 end of the period</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Includes $1 million included in Other non-current liabilities.</w:t>
      </w:r>
    </w:p>
    <w:p>
      <w:pPr>
        <w:spacing w:after="0" w:line="11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Due to the short term nature of our contract liabilities, a substantial portion of the contract liability at the beginning of the period is recognized in revenue in the immediate subsequent reporting period.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BUSINESS COMBINATIONS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Snai</w:t>
      </w:r>
    </w:p>
    <w:p>
      <w:pPr>
        <w:spacing w:after="0" w:line="11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April 30, 2025, we completed the acquisition of 100% of the outstanding shares of Pluto (Italia) S.p.A, the holding company that owns Snaitech S.p.A (“Snai”), one of Italy’s leading omni-channel operators in the sports betting and iGaming market, for a consideration of approximately $2.6 billion (€2.3 billion).</w:t>
      </w:r>
    </w:p>
    <w:p>
      <w:pPr>
        <w:spacing w:after="0" w:line="6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acquisition of Snai was funded by the net proceeds from the issuance of the Senior Notes due 2031, and the Term Loan B due 2032 borrowings under the Third Incremental Assumption Agreement amending the existing Credit Agreement dated November 24, 2023 (as amended).</w:t>
      </w:r>
    </w:p>
    <w:p>
      <w:pPr>
        <w:spacing w:after="0" w:line="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allocated the purchase price to tangible and identified intangible assets acquired and liabilities assumed based on their preliminary estimated fair values, which were determined using generally accepted valuation techniques based on estimates and assumptions made by management at the time of acquisition. These estimates and assumptions are believed to be reasonable, but they are inherently uncertain and may be subject to material change as additional information becomes available. Intangible assets acquired in the transaction included trademarks of $717 million, online customer relationships of $490 million and a point of sale network of $125 million. Goodwill of $1.5 billion was also recognized. The accounting for the transaction was finalized during the second quarter of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Acquisition-related costs during the three and nine months ended September 30, 2026 were not material. Acquisition-related costs incurred during the three</w:t>
      </w:r>
    </w:p>
    <w:p>
      <w:pPr>
        <w:spacing w:after="0" w:line="5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and nine months ended September 30, 2025 were $17 million and $18 million, respectively. These are included in general and administrative expenses in the Group’s Unaudited Condensed Consolidated Statements of Comprehensive (Loss) Income.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NSX</w:t>
      </w:r>
    </w:p>
    <w:p>
      <w:pPr>
        <w:spacing w:after="0" w:line="119"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On May 14, 2025, we completed the acquisition of a 56% interest in NSX, a leading Brazilian operator of the Betnacional brand. The total purchase consideration amounted to $674 million (BRL 3,799 million) comprising of a cash consideration of $348 million (BRL 1,961 million), contribution of a portion of the Group’s existing Betfair Brazil business having a fair value of $40 million (BRL 230 million), fair value of non-controlling interest of $254 million (BRL 1,430 million) and settlement of a pre-existing relationship in the amount of $32 million (BRL 178 million).</w:t>
      </w:r>
    </w:p>
    <w:p>
      <w:pPr>
        <w:spacing w:after="0" w:line="8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allocated the purchase price to tangible and identified intangible assets acquired and liabilities assumed based on their preliminary estimated fair values, which were determined using generally accepted valuation techniques based on estimates and assumptions made at the time of acquisition. These estimates and assumptions are believed to be reasonable, but they are inherently uncertain and may be subject to material change. Intangible assets acquired in the transaction included trademarks of $123 million and online customer relationships of $212 million. Goodwill of $429 million was also recognized. The fair value of the non-controlling interest was $254 million. The accounting for the transaction was finalized during the second quarter of 2026.</w:t>
      </w:r>
    </w:p>
    <w:p>
      <w:pPr>
        <w:spacing w:after="0" w:line="6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Acquisition-related costs during the three and nine months ended September 30, 2026 and September 30, 2025 were not material and are included in general and administrative expenses in the Group’s Condensed Consolidated Statements of Comprehensive (Loss) Income.</w:t>
      </w:r>
    </w:p>
    <w:p>
      <w:pPr>
        <w:spacing w:after="0" w:line="6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Group recognized an impairment in relation to the Brazil business. See Note 3. Segments and Disaggregation of Revenue</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LONG-TERM DEBT</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Group’s debt comprised of the following as of September 30, 2026 and December 31, 2025:</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280" w:type="dxa"/>
            <w:vAlign w:val="bottom"/>
          </w:tcPr>
          <w:p>
            <w:pPr>
              <w:spacing w:after="0"/>
              <w:rPr>
                <w:sz w:val="21"/>
                <w:szCs w:val="21"/>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As of September</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 of December</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30, 2026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tcPr>
          <w:p>
            <w:pPr>
              <w:spacing w:after="0"/>
              <w:rPr>
                <w:sz w:val="18"/>
                <w:szCs w:val="18"/>
                <w:color w:val="auto"/>
              </w:rPr>
            </w:pPr>
          </w:p>
        </w:tc>
        <w:tc>
          <w:tcPr>
            <w:tcW w:w="12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60" w:type="dxa"/>
            <w:vAlign w:val="bottom"/>
          </w:tcPr>
          <w:p>
            <w:pPr>
              <w:spacing w:after="0"/>
              <w:rPr>
                <w:sz w:val="18"/>
                <w:szCs w:val="18"/>
                <w:color w:val="auto"/>
              </w:rPr>
            </w:pPr>
          </w:p>
        </w:tc>
        <w:tc>
          <w:tcPr>
            <w:tcW w:w="1200" w:type="dxa"/>
            <w:vAlign w:val="bottom"/>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76"/>
        </w:trPr>
        <w:tc>
          <w:tcPr>
            <w:tcW w:w="5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60" w:type="dxa"/>
            <w:vAlign w:val="bottom"/>
            <w:gridSpan w:val="2"/>
            <w:vMerge w:val="restart"/>
          </w:tcPr>
          <w:p>
            <w:pPr>
              <w:jc w:val="center"/>
              <w:ind w:right="26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balance in</w:t>
            </w:r>
          </w:p>
        </w:tc>
        <w:tc>
          <w:tcPr>
            <w:tcW w:w="20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gridSpan w:val="2"/>
            <w:vMerge w:val="restart"/>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rPr>
              <w:t>balance in</w:t>
            </w:r>
          </w:p>
        </w:tc>
        <w:tc>
          <w:tcPr>
            <w:tcW w:w="16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5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vMerge w:val="restart"/>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vMerge w:val="restart"/>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54"/>
        </w:trPr>
        <w:tc>
          <w:tcPr>
            <w:tcW w:w="5280" w:type="dxa"/>
            <w:vAlign w:val="bottom"/>
          </w:tcPr>
          <w:p>
            <w:pPr>
              <w:spacing w:after="0"/>
              <w:rPr>
                <w:sz w:val="4"/>
                <w:szCs w:val="4"/>
                <w:color w:val="auto"/>
              </w:rPr>
            </w:pPr>
          </w:p>
        </w:tc>
        <w:tc>
          <w:tcPr>
            <w:tcW w:w="152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currency of debt</w:t>
            </w:r>
          </w:p>
        </w:tc>
        <w:tc>
          <w:tcPr>
            <w:tcW w:w="2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currency of debt</w:t>
            </w: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10"/>
              <w:spacing w:after="0" w:line="173" w:lineRule="exact"/>
              <w:rPr>
                <w:sz w:val="20"/>
                <w:szCs w:val="20"/>
                <w:color w:val="auto"/>
              </w:rPr>
            </w:pPr>
            <w:r>
              <w:rPr>
                <w:rFonts w:ascii="Times New Roman" w:cs="Times New Roman" w:eastAsia="Times New Roman" w:hAnsi="Times New Roman"/>
                <w:sz w:val="18"/>
                <w:szCs w:val="18"/>
                <w:b w:val="1"/>
                <w:bCs w:val="1"/>
                <w:color w:val="auto"/>
                <w:w w:val="98"/>
              </w:rPr>
              <w:t>($ in</w:t>
            </w:r>
          </w:p>
        </w:tc>
        <w:tc>
          <w:tcPr>
            <w:tcW w:w="100" w:type="dxa"/>
            <w:vAlign w:val="bottom"/>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ind w:right="50"/>
              <w:spacing w:after="0" w:line="173" w:lineRule="exact"/>
              <w:rPr>
                <w:sz w:val="20"/>
                <w:szCs w:val="20"/>
                <w:color w:val="auto"/>
              </w:rPr>
            </w:pPr>
            <w:r>
              <w:rPr>
                <w:rFonts w:ascii="Times New Roman" w:cs="Times New Roman" w:eastAsia="Times New Roman" w:hAnsi="Times New Roman"/>
                <w:sz w:val="18"/>
                <w:szCs w:val="18"/>
                <w:b w:val="1"/>
                <w:bCs w:val="1"/>
                <w:color w:val="auto"/>
                <w:w w:val="98"/>
              </w:rPr>
              <w:t>($ in</w:t>
            </w: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0" w:type="dxa"/>
            <w:vAlign w:val="bottom"/>
          </w:tcPr>
          <w:p>
            <w:pPr>
              <w:spacing w:after="0"/>
              <w:rPr>
                <w:sz w:val="20"/>
                <w:szCs w:val="20"/>
                <w:color w:val="auto"/>
              </w:rPr>
            </w:pPr>
          </w:p>
        </w:tc>
        <w:tc>
          <w:tcPr>
            <w:tcW w:w="122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4"/>
              </w:rPr>
              <w:t>  millions)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4"/>
              </w:rPr>
              <w:t>  millions)</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TLA/TLB/RCF Agreement</w:t>
            </w:r>
          </w:p>
        </w:tc>
        <w:tc>
          <w:tcPr>
            <w:tcW w:w="16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GBP First Lien Term Loan A due 2028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 First Lien Term Loan A due 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First Lien Term Loan A due 2028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GBP Revolving Credit Facility due 2028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First Lien Term Loan B due 2030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 First Lien Term Loan B due 2032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 Senior Secured Notes due 2029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Senior Secured Notes due 2029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 Senior Secured Notes due 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65"/>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Senior Secured Notes due 2031</w:t>
            </w: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0" w:type="dxa"/>
            <w:vAlign w:val="bottom"/>
          </w:tcPr>
          <w:p>
            <w:pPr>
              <w:spacing w:after="0"/>
              <w:rPr>
                <w:sz w:val="1"/>
                <w:szCs w:val="1"/>
                <w:color w:val="auto"/>
              </w:rPr>
            </w:pPr>
          </w:p>
        </w:tc>
      </w:tr>
      <w:tr>
        <w:trPr>
          <w:trHeight w:val="27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GBP Senior Secured Notes due 2031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 principal including accrued interest</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12,359</w:t>
            </w:r>
          </w:p>
        </w:tc>
        <w:tc>
          <w:tcPr>
            <w:tcW w:w="0" w:type="dxa"/>
            <w:vAlign w:val="bottom"/>
          </w:tcPr>
          <w:p>
            <w:pPr>
              <w:spacing w:after="0"/>
              <w:rPr>
                <w:sz w:val="1"/>
                <w:szCs w:val="1"/>
                <w:color w:val="auto"/>
              </w:rPr>
            </w:pP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6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0" w:type="dxa"/>
            <w:vAlign w:val="bottom"/>
          </w:tcPr>
          <w:p>
            <w:pPr>
              <w:spacing w:after="0"/>
              <w:rPr>
                <w:sz w:val="1"/>
                <w:szCs w:val="1"/>
                <w:color w:val="auto"/>
              </w:rPr>
            </w:pPr>
          </w:p>
        </w:tc>
      </w:tr>
      <w:tr>
        <w:trPr>
          <w:trHeight w:val="277"/>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5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12,143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*Includes a net fair value basis adjustment related to receive-fixed, pay variable interest rate swap agreements designated as fair value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2026, the contractual principal repayments of the Group’s outstanding borrowings, excluding accrued interest, amount to the following:</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77"/>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w:t>
            </w:r>
          </w:p>
        </w:tc>
      </w:tr>
      <w:tr>
        <w:trPr>
          <w:trHeight w:val="263"/>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4,696</w:t>
            </w:r>
          </w:p>
        </w:tc>
      </w:tr>
      <w:tr>
        <w:trPr>
          <w:trHeight w:val="263"/>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12,277</w:t>
            </w:r>
          </w:p>
        </w:tc>
      </w:tr>
    </w:tbl>
    <w:p>
      <w:pPr>
        <w:spacing w:after="0" w:line="18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Group is obligated to make periodic interest payments at variable rates, depending on the terms of the applicable debt agreements. Actual future interest payments may differ from these amounts based on changes in floating interest rates or other factors or events.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the Group drew £1,208 million ($1,621 million) (September 30, 2025: $750 million) and repaid £1,108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($1,492 million) (September 30, 2025: $427 million) under the GBP revolving credit facility. The Group had an undrawn revolving credit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of $782 million (£590 million) as of September 30, 2026 (December 31, 2025: $929 million (£690 million)), of which $13 million (£10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(December 31, 2025: $13 million (£10 million)) was reserved for issuing guarantees.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Group was in compliance with all debt covenants.</w:t>
      </w:r>
    </w:p>
    <w:p>
      <w:pPr>
        <w:spacing w:after="0" w:line="11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Subsequent to September 30, 2026, the Group entered into the First Amendment and Restatement Agreement (the “First Amendment and Restatement Agreement”) to the Credit Agreement dated November 24, 2023. For additional information regarding the First Amendment and Restatement Agreement see Note 17. Subsequent events.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DERIVATIVES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normal course of the Group’s business operations, the Group is exposed to certain risks, including changes in interest rates and foreign currency rates. In order to manage these risks, the Group uses derivative instruments such as cross-currency interest rate swaps, interest rate swaps, foreign exchange forward contracts, options and other instruments with similar characteristics. None of the Group’s derivative instruments are used for speculative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Interest rate risk arising from a portion of the Group’s floating interest rate USD First Lien Term Loan B maturing in 2030 and 2032, along with foreign currency risk arising from the Group’s fixed rate USD Senior Secured Notes maturing in 2029 are managed using interest rate swaps and cross-currency interest rate swaps, which are designated as cash flow hedges with the objective of reducing the volatility of interest expense in the case of the USD First Lien Term Loan B and foreign currency risk in the case of fixed rate USD Senior Secured Notes. During the year ended December 31, 2025, the Group also hedged foreign currency risk arising from the Group’s floating interest rate USD First Lien Term Loan B maturing in 2030 and 2032.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interest rate swaps</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cross-currency interest rate swaps designated as a hedge of the foreign currency risk arising from the USD Senior Secured Notes effectively convert the fixed rate USD Senior Secured Notes to fixed rate GBP Senior Secured Notes.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 is managed by exchanging contractual amounts at exchange rates and interest rates determined at swap contract inception.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interest rate swaps designated as a hedge of the interest risk arising from the USD First Lien Term Loan B effectively converts the variable rate term loan into a fixed rate term loan. Interest risk is managed by exchanging contractual amounts at interest rates determined at swap contract inception.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Group's outstanding derivative instruments designated as cash flow hedges:</w:t>
      </w:r>
    </w:p>
    <w:p>
      <w:pPr>
        <w:spacing w:after="0" w:line="181" w:lineRule="exact"/>
        <w:rPr>
          <w:sz w:val="20"/>
          <w:szCs w:val="20"/>
          <w:color w:val="auto"/>
        </w:rPr>
      </w:pPr>
    </w:p>
    <w:tbl>
      <w:tblPr>
        <w:tblLayout w:type="fixed"/>
        <w:tblInd w:w="140" w:type="dxa"/>
        <w:tblCellMar>
          <w:top w:w="0" w:type="dxa"/>
          <w:left w:w="0" w:type="dxa"/>
          <w:bottom w:w="0" w:type="dxa"/>
          <w:right w:w="0" w:type="dxa"/>
        </w:tblCellMar>
      </w:tblPr>
      <w:tr>
        <w:trPr>
          <w:trHeight w:val="245"/>
        </w:trPr>
        <w:tc>
          <w:tcPr>
            <w:tcW w:w="29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26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100" w:type="dxa"/>
            <w:vAlign w:val="bottom"/>
          </w:tcPr>
          <w:p>
            <w:pPr>
              <w:spacing w:after="0"/>
              <w:rPr>
                <w:sz w:val="21"/>
                <w:szCs w:val="21"/>
                <w:color w:val="auto"/>
              </w:rPr>
            </w:pPr>
          </w:p>
        </w:tc>
        <w:tc>
          <w:tcPr>
            <w:tcW w:w="25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0" w:type="dxa"/>
            <w:vAlign w:val="bottom"/>
          </w:tcPr>
          <w:p>
            <w:pPr>
              <w:spacing w:after="0"/>
              <w:rPr>
                <w:sz w:val="1"/>
                <w:szCs w:val="1"/>
                <w:color w:val="auto"/>
              </w:rPr>
            </w:pPr>
          </w:p>
        </w:tc>
      </w:tr>
      <w:tr>
        <w:trPr>
          <w:trHeight w:val="221"/>
        </w:trPr>
        <w:tc>
          <w:tcPr>
            <w:tcW w:w="2900" w:type="dxa"/>
            <w:vAlign w:val="bottom"/>
          </w:tcPr>
          <w:p>
            <w:pPr>
              <w:spacing w:after="0"/>
              <w:rPr>
                <w:sz w:val="19"/>
                <w:szCs w:val="19"/>
                <w:color w:val="auto"/>
              </w:rPr>
            </w:pPr>
          </w:p>
        </w:tc>
        <w:tc>
          <w:tcPr>
            <w:tcW w:w="27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Hedged Item</w:t>
            </w:r>
          </w:p>
        </w:tc>
        <w:tc>
          <w:tcPr>
            <w:tcW w:w="14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Notional ($ in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Notional ($ in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130"/>
        </w:trPr>
        <w:tc>
          <w:tcPr>
            <w:tcW w:w="2900" w:type="dxa"/>
            <w:vAlign w:val="bottom"/>
          </w:tcPr>
          <w:p>
            <w:pPr>
              <w:spacing w:after="0"/>
              <w:rPr>
                <w:sz w:val="11"/>
                <w:szCs w:val="11"/>
                <w:color w:val="auto"/>
              </w:rPr>
            </w:pPr>
          </w:p>
        </w:tc>
        <w:tc>
          <w:tcPr>
            <w:tcW w:w="2780" w:type="dxa"/>
            <w:vAlign w:val="bottom"/>
            <w:vMerge w:val="continue"/>
          </w:tcPr>
          <w:p>
            <w:pPr>
              <w:spacing w:after="0"/>
              <w:rPr>
                <w:sz w:val="11"/>
                <w:szCs w:val="11"/>
                <w:color w:val="auto"/>
              </w:rPr>
            </w:pPr>
          </w:p>
        </w:tc>
        <w:tc>
          <w:tcPr>
            <w:tcW w:w="14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108"/>
        </w:trPr>
        <w:tc>
          <w:tcPr>
            <w:tcW w:w="29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 Senior Secured Notes</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April 18, 2028</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April 15, 2026</w:t>
            </w:r>
          </w:p>
        </w:tc>
        <w:tc>
          <w:tcPr>
            <w:tcW w:w="0" w:type="dxa"/>
            <w:vAlign w:val="bottom"/>
          </w:tcPr>
          <w:p>
            <w:pPr>
              <w:spacing w:after="0"/>
              <w:rPr>
                <w:sz w:val="1"/>
                <w:szCs w:val="1"/>
                <w:color w:val="auto"/>
              </w:rPr>
            </w:pPr>
          </w:p>
        </w:tc>
      </w:tr>
      <w:tr>
        <w:trPr>
          <w:trHeight w:val="225"/>
        </w:trPr>
        <w:tc>
          <w:tcPr>
            <w:tcW w:w="29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03"/>
        </w:trPr>
        <w:tc>
          <w:tcPr>
            <w:tcW w:w="29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Interest rate swaps</w:t>
            </w:r>
          </w:p>
        </w:tc>
        <w:tc>
          <w:tcPr>
            <w:tcW w:w="27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Term Loan B</w:t>
            </w:r>
          </w:p>
        </w:tc>
        <w:tc>
          <w:tcPr>
            <w:tcW w:w="14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1,489</w:t>
            </w:r>
          </w:p>
        </w:tc>
        <w:tc>
          <w:tcPr>
            <w:tcW w:w="132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color w:val="auto"/>
              </w:rPr>
              <w:t>June 30, 2027</w:t>
            </w:r>
          </w:p>
        </w:tc>
        <w:tc>
          <w:tcPr>
            <w:tcW w:w="1320" w:type="dxa"/>
            <w:vAlign w:val="bottom"/>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1,994</w:t>
            </w:r>
          </w:p>
        </w:tc>
        <w:tc>
          <w:tcPr>
            <w:tcW w:w="1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2026 to June</w:t>
            </w: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30, 2027</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Changes in the fair value of the portion of the derivative included in the assessment of hedge effectiveness of cash-flow hedges are recorded in other comprehensive income (loss), until earnings are affected by the variability of cash flows.</w:t>
      </w:r>
    </w:p>
    <w:p>
      <w:pPr>
        <w:spacing w:after="0" w:line="29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gain (loss) of the Company’s designated cash flow hedges for the three and nine months ended September 30, 2026 and 2025:</w:t>
      </w:r>
    </w:p>
    <w:p>
      <w:pPr>
        <w:spacing w:after="0" w:line="113"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00" w:type="dxa"/>
            <w:vAlign w:val="bottom"/>
          </w:tcPr>
          <w:p>
            <w:pPr>
              <w:spacing w:after="0"/>
              <w:rPr>
                <w:sz w:val="17"/>
                <w:szCs w:val="17"/>
                <w:color w:val="auto"/>
              </w:rPr>
            </w:pPr>
          </w:p>
        </w:tc>
        <w:tc>
          <w:tcPr>
            <w:tcW w:w="3100" w:type="dxa"/>
            <w:vAlign w:val="bottom"/>
            <w:gridSpan w:val="4"/>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Amount of (gain) loss reclassified from</w:t>
            </w:r>
          </w:p>
        </w:tc>
        <w:tc>
          <w:tcPr>
            <w:tcW w:w="0" w:type="dxa"/>
            <w:vAlign w:val="bottom"/>
          </w:tcPr>
          <w:p>
            <w:pPr>
              <w:spacing w:after="0"/>
              <w:rPr>
                <w:sz w:val="1"/>
                <w:szCs w:val="1"/>
                <w:color w:val="auto"/>
              </w:rPr>
            </w:pPr>
          </w:p>
        </w:tc>
      </w:tr>
      <w:tr>
        <w:trPr>
          <w:trHeight w:val="198"/>
        </w:trPr>
        <w:tc>
          <w:tcPr>
            <w:tcW w:w="2120" w:type="dxa"/>
            <w:vAlign w:val="bottom"/>
          </w:tcPr>
          <w:p>
            <w:pPr>
              <w:spacing w:after="0"/>
              <w:rPr>
                <w:sz w:val="17"/>
                <w:szCs w:val="17"/>
                <w:color w:val="auto"/>
              </w:rPr>
            </w:pPr>
          </w:p>
        </w:tc>
        <w:tc>
          <w:tcPr>
            <w:tcW w:w="5340" w:type="dxa"/>
            <w:vAlign w:val="bottom"/>
            <w:gridSpan w:val="6"/>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Amount of gain (loss) recognized in OCI recognized from AOCI into</w:t>
            </w:r>
          </w:p>
        </w:tc>
        <w:tc>
          <w:tcPr>
            <w:tcW w:w="100" w:type="dxa"/>
            <w:vAlign w:val="bottom"/>
          </w:tcPr>
          <w:p>
            <w:pPr>
              <w:spacing w:after="0"/>
              <w:rPr>
                <w:sz w:val="17"/>
                <w:szCs w:val="17"/>
                <w:color w:val="auto"/>
              </w:rPr>
            </w:pPr>
          </w:p>
        </w:tc>
        <w:tc>
          <w:tcPr>
            <w:tcW w:w="31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17"/>
                <w:szCs w:val="17"/>
                <w:color w:val="auto"/>
              </w:rPr>
            </w:pPr>
          </w:p>
        </w:tc>
        <w:tc>
          <w:tcPr>
            <w:tcW w:w="3100" w:type="dxa"/>
            <w:vAlign w:val="bottom"/>
            <w:gridSpan w:val="4"/>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AOCI into net income (loss)</w:t>
            </w:r>
          </w:p>
        </w:tc>
        <w:tc>
          <w:tcPr>
            <w:tcW w:w="0" w:type="dxa"/>
            <w:vAlign w:val="bottom"/>
          </w:tcPr>
          <w:p>
            <w:pPr>
              <w:spacing w:after="0"/>
              <w:rPr>
                <w:sz w:val="1"/>
                <w:szCs w:val="1"/>
                <w:color w:val="auto"/>
              </w:rPr>
            </w:pPr>
          </w:p>
        </w:tc>
      </w:tr>
      <w:tr>
        <w:trPr>
          <w:trHeight w:val="61"/>
        </w:trPr>
        <w:tc>
          <w:tcPr>
            <w:tcW w:w="212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214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2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000" w:type="dxa"/>
            <w:vAlign w:val="bottom"/>
            <w:tcBorders>
              <w:bottom w:val="single" w:sz="8" w:color="auto"/>
            </w:tcBorders>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1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0"/>
        </w:trPr>
        <w:tc>
          <w:tcPr>
            <w:tcW w:w="2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interest rate</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
        </w:trPr>
        <w:tc>
          <w:tcPr>
            <w:tcW w:w="2120" w:type="dxa"/>
            <w:vAlign w:val="bottom"/>
            <w:vMerge w:val="continue"/>
            <w:shd w:val="clear" w:color="auto" w:fill="CCEEFF"/>
          </w:tcPr>
          <w:p>
            <w:pPr>
              <w:spacing w:after="0"/>
              <w:rPr>
                <w:sz w:val="2"/>
                <w:szCs w:val="2"/>
                <w:color w:val="auto"/>
              </w:rPr>
            </w:pPr>
          </w:p>
        </w:tc>
        <w:tc>
          <w:tcPr>
            <w:tcW w:w="340" w:type="dxa"/>
            <w:vAlign w:val="bottom"/>
            <w:vMerge w:val="continue"/>
            <w:shd w:val="clear" w:color="auto" w:fill="CCEEFF"/>
          </w:tcPr>
          <w:p>
            <w:pPr>
              <w:spacing w:after="0"/>
              <w:rPr>
                <w:sz w:val="2"/>
                <w:szCs w:val="2"/>
                <w:color w:val="auto"/>
              </w:rPr>
            </w:pPr>
          </w:p>
        </w:tc>
        <w:tc>
          <w:tcPr>
            <w:tcW w:w="1320" w:type="dxa"/>
            <w:vAlign w:val="bottom"/>
            <w:gridSpan w:val="2"/>
            <w:vMerge w:val="continue"/>
            <w:shd w:val="clear" w:color="auto" w:fill="CCEEFF"/>
          </w:tcPr>
          <w:p>
            <w:pPr>
              <w:spacing w:after="0"/>
              <w:rPr>
                <w:sz w:val="2"/>
                <w:szCs w:val="2"/>
                <w:color w:val="auto"/>
              </w:rPr>
            </w:pPr>
          </w:p>
        </w:tc>
        <w:tc>
          <w:tcPr>
            <w:tcW w:w="340" w:type="dxa"/>
            <w:vAlign w:val="bottom"/>
            <w:vMerge w:val="continue"/>
            <w:shd w:val="clear" w:color="auto" w:fill="CCEEFF"/>
          </w:tcPr>
          <w:p>
            <w:pPr>
              <w:spacing w:after="0"/>
              <w:rPr>
                <w:sz w:val="2"/>
                <w:szCs w:val="2"/>
                <w:color w:val="auto"/>
              </w:rPr>
            </w:pPr>
          </w:p>
        </w:tc>
        <w:tc>
          <w:tcPr>
            <w:tcW w:w="1200" w:type="dxa"/>
            <w:vAlign w:val="bottom"/>
            <w:vMerge w:val="continue"/>
            <w:shd w:val="clear" w:color="auto" w:fill="CCEEFF"/>
          </w:tcPr>
          <w:p>
            <w:pPr>
              <w:spacing w:after="0"/>
              <w:rPr>
                <w:sz w:val="2"/>
                <w:szCs w:val="2"/>
                <w:color w:val="auto"/>
              </w:rPr>
            </w:pPr>
          </w:p>
        </w:tc>
        <w:tc>
          <w:tcPr>
            <w:tcW w:w="2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net*</w:t>
            </w:r>
          </w:p>
        </w:tc>
        <w:tc>
          <w:tcPr>
            <w:tcW w:w="100" w:type="dxa"/>
            <w:vAlign w:val="bottom"/>
            <w:shd w:val="clear" w:color="auto" w:fill="CCEEFF"/>
          </w:tcPr>
          <w:p>
            <w:pPr>
              <w:spacing w:after="0"/>
              <w:rPr>
                <w:sz w:val="2"/>
                <w:szCs w:val="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25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swaps</w:t>
            </w: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214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14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399"/>
        </w:trPr>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00" w:type="dxa"/>
            <w:vAlign w:val="bottom"/>
          </w:tcPr>
          <w:p>
            <w:pPr>
              <w:spacing w:after="0"/>
              <w:rPr>
                <w:sz w:val="24"/>
                <w:szCs w:val="24"/>
                <w:color w:val="auto"/>
              </w:rPr>
            </w:pPr>
          </w:p>
        </w:tc>
        <w:tc>
          <w:tcPr>
            <w:tcW w:w="3100" w:type="dxa"/>
            <w:vAlign w:val="bottom"/>
            <w:gridSpan w:val="4"/>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Amount of (gain) loss reclassified from</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5340" w:type="dxa"/>
            <w:vAlign w:val="bottom"/>
            <w:gridSpan w:val="6"/>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Amount of gain (loss) recognized in OCI recognized from AOCI into</w:t>
            </w:r>
          </w:p>
        </w:tc>
        <w:tc>
          <w:tcPr>
            <w:tcW w:w="100" w:type="dxa"/>
            <w:vAlign w:val="bottom"/>
          </w:tcPr>
          <w:p>
            <w:pPr>
              <w:spacing w:after="0"/>
              <w:rPr>
                <w:sz w:val="15"/>
                <w:szCs w:val="15"/>
                <w:color w:val="auto"/>
              </w:rPr>
            </w:pPr>
          </w:p>
        </w:tc>
        <w:tc>
          <w:tcPr>
            <w:tcW w:w="31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16"/>
                <w:szCs w:val="16"/>
                <w:color w:val="auto"/>
              </w:rPr>
            </w:pPr>
          </w:p>
        </w:tc>
        <w:tc>
          <w:tcPr>
            <w:tcW w:w="3100" w:type="dxa"/>
            <w:vAlign w:val="bottom"/>
            <w:gridSpan w:val="4"/>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AOCI into net income (loss)</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2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5"/>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interest rate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8"/>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swaps</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Other income, net*</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70"/>
        </w:trPr>
        <w:tc>
          <w:tcPr>
            <w:tcW w:w="2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1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7"/>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14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Included in foreign exchange (loss) gain, net, which is a component of Other income, net.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expects to reclassify a gain of $9 million from accumulated other comprehensive income (loss) into earnings within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hedges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interest rate swaps</w:t>
      </w:r>
    </w:p>
    <w:p>
      <w:pPr>
        <w:spacing w:after="0" w:line="11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Foreign currency risk arising from a portion of the Group's USD Senior Secured Notes due 2031 is managed using receive fixed rate, pay variable rate and pay variable rate, receive variable rate cross-currency interest rate swaps with the objective of reducing the volatility of foreign currency gains and losses. During the year ended December 31, 2025, the Group also hedged foreign currency risk arising from the Group’s floating rate USD First Lien Term Loan B.</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risk is eliminated by exchanging contractual amounts at exchange rates which are determined at swap contract inception.</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September 30, 2026 and as of December 31, 2025, the notional amount of cross-currency interest rate swaps designated in a fair value hedge of the USD Senior Secured Notes was $1,000 million (maturing June 4, 2027).</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Group recorded a foreign currency gain of nil and a gain of $15 million in earnings for the three and nine months ended September 30, 2026, respectively (three and nine months ended September 30, 2025: $43 million gain and $107 million loss, respectively), which offset the respective foreign currency loss in respect of the USD Senior Secured Notes, for the three and nine months ended September 30, 2026, respectively.</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Group excludes the cross-currency basis spread in the swaps from the hedge effectiveness assessment and recognizes the excluded component into earnings through the periodic interest settlements on the swaps. Changes in the fair value of the excluded components recognized in other comprehensive income (loss) were nil for the three and nine months ended September 30, 2026 (three and nine months ended September 30, 2025: $5 million gain and $1 million gain, respectively). The amount recognized in earnings in foreign exchange (loss) gain, net, which is a component of other income (expense), net was $1 million loss and $2 million loss for three and nine months ended September 30, 2026 respectively (three and nine months ended September 30, 2025: nil and $3 million loss,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rate risk from changes in three month SOFR arising from the fixed rate USD Senior Secured Notes due 2031 is managed using interest rate swaps that effectively convert the fixed rate senior secured notes into variable rate senior secured notes. Interest risk is managed by exchanging contractual amounts at interest rates determined at swap contract inception.</w:t>
      </w:r>
    </w:p>
    <w:p>
      <w:pPr>
        <w:spacing w:after="0" w:line="6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notional amount of interest rate swaps designated as fair value hedges of interest rate risk on the USD Senior Secured Notes was $500 million (maturing June 4, 2027) as of September 30, 2026 and as of December 31, 2025.</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amounts recorded in Long-term debt in the Unaudited Condensed Consolidated Balance Sheets related to the cumulative basis adjustment for fair value hedges ($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80" w:type="dxa"/>
            <w:vAlign w:val="bottom"/>
            <w:tcBorders>
              <w:bottom w:val="single" w:sz="8" w:color="auto"/>
            </w:tcBorders>
          </w:tcPr>
          <w:p>
            <w:pPr>
              <w:spacing w:after="0"/>
              <w:rPr>
                <w:sz w:val="21"/>
                <w:szCs w:val="21"/>
                <w:color w:val="auto"/>
              </w:rPr>
            </w:pPr>
          </w:p>
        </w:tc>
      </w:tr>
      <w:tr>
        <w:trPr>
          <w:trHeight w:val="221"/>
        </w:trPr>
        <w:tc>
          <w:tcPr>
            <w:tcW w:w="2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Cumulative basis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9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Cumulative basis</w:t>
            </w:r>
          </w:p>
        </w:tc>
        <w:tc>
          <w:tcPr>
            <w:tcW w:w="280" w:type="dxa"/>
            <w:vAlign w:val="bottom"/>
          </w:tcPr>
          <w:p>
            <w:pPr>
              <w:spacing w:after="0"/>
              <w:rPr>
                <w:sz w:val="19"/>
                <w:szCs w:val="19"/>
                <w:color w:val="auto"/>
              </w:rPr>
            </w:pPr>
          </w:p>
        </w:tc>
      </w:tr>
      <w:tr>
        <w:trPr>
          <w:trHeight w:val="216"/>
        </w:trPr>
        <w:tc>
          <w:tcPr>
            <w:tcW w:w="2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adjustment included in the</w:t>
            </w:r>
          </w:p>
        </w:tc>
        <w:tc>
          <w:tcPr>
            <w:tcW w:w="260" w:type="dxa"/>
            <w:vAlign w:val="bottom"/>
          </w:tcPr>
          <w:p>
            <w:pPr>
              <w:spacing w:after="0"/>
              <w:rPr>
                <w:sz w:val="18"/>
                <w:szCs w:val="18"/>
                <w:color w:val="auto"/>
              </w:rPr>
            </w:pPr>
          </w:p>
        </w:tc>
        <w:tc>
          <w:tcPr>
            <w:tcW w:w="19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adjustment included in the</w:t>
            </w:r>
          </w:p>
        </w:tc>
      </w:tr>
      <w:tr>
        <w:trPr>
          <w:trHeight w:val="245"/>
        </w:trPr>
        <w:tc>
          <w:tcPr>
            <w:tcW w:w="2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carrying amount</w:t>
            </w: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80" w:type="dxa"/>
            <w:vAlign w:val="bottom"/>
            <w:tcBorders>
              <w:bottom w:val="single" w:sz="8" w:color="auto"/>
            </w:tcBorders>
          </w:tcPr>
          <w:p>
            <w:pPr>
              <w:spacing w:after="0"/>
              <w:rPr>
                <w:sz w:val="21"/>
                <w:szCs w:val="21"/>
                <w:color w:val="auto"/>
              </w:rPr>
            </w:pPr>
          </w:p>
        </w:tc>
      </w:tr>
      <w:tr>
        <w:trPr>
          <w:trHeight w:val="270"/>
        </w:trPr>
        <w:tc>
          <w:tcPr>
            <w:tcW w:w="2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23"/>
                <w:szCs w:val="23"/>
                <w:color w:val="auto"/>
              </w:rPr>
            </w:pPr>
          </w:p>
        </w:tc>
        <w:tc>
          <w:tcPr>
            <w:tcW w:w="1840" w:type="dxa"/>
            <w:vAlign w:val="bottom"/>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c>
          <w:tcPr>
            <w:tcW w:w="1960" w:type="dxa"/>
            <w:vAlign w:val="bottom"/>
            <w:shd w:val="clear" w:color="auto" w:fill="CCEEFF"/>
          </w:tcPr>
          <w:p>
            <w:pPr>
              <w:jc w:val="right"/>
              <w:ind w:right="16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investment hedges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The Group has investments in various subsidiaries with Euro and USD functional currencies. As a result, the Group is exposed to the risk of fluctuations between the Euro and GBP and USD and GBP exchange rates. The Group designated its Euro denominated Term Loan A and Senior Secured Notes due 2029 and 2031, and a portion of its USD Term Loan B (fully discontinued on December 31, 2025) and receive variable rate, pay variable rate cross-currency interest rate swaps whereby the Group will receive GBP from, and pay Euro to, the counterparties at contractual amounts and exchange rates which are determined at swap contract inception, as net investment hedges which are intended to mitigate foreign currency exposure related to non-GBP net investments in certain Euro and USD functional currency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hedging instruments designated in net investment hedge relationships, which were considered highly effective:</w:t>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245"/>
        </w:trPr>
        <w:tc>
          <w:tcPr>
            <w:tcW w:w="2140" w:type="dxa"/>
            <w:vAlign w:val="bottom"/>
          </w:tcPr>
          <w:p>
            <w:pPr>
              <w:spacing w:after="0"/>
              <w:rPr>
                <w:sz w:val="21"/>
                <w:szCs w:val="21"/>
                <w:color w:val="auto"/>
              </w:rPr>
            </w:pPr>
          </w:p>
        </w:tc>
        <w:tc>
          <w:tcPr>
            <w:tcW w:w="430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100" w:type="dxa"/>
            <w:vAlign w:val="bottom"/>
          </w:tcPr>
          <w:p>
            <w:pPr>
              <w:spacing w:after="0"/>
              <w:rPr>
                <w:sz w:val="21"/>
                <w:szCs w:val="21"/>
                <w:color w:val="auto"/>
              </w:rPr>
            </w:pPr>
          </w:p>
        </w:tc>
        <w:tc>
          <w:tcPr>
            <w:tcW w:w="4320" w:type="dxa"/>
            <w:vAlign w:val="bottom"/>
            <w:tcBorders>
              <w:bottom w:val="single" w:sz="8" w:color="auto"/>
            </w:tcBorders>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64"/>
        </w:trPr>
        <w:tc>
          <w:tcPr>
            <w:tcW w:w="214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Notional ($ in millions)</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Expiration date</w:t>
            </w:r>
          </w:p>
        </w:tc>
        <w:tc>
          <w:tcPr>
            <w:tcW w:w="10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Notional ($ in millions)</w:t>
            </w: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Expiration date</w:t>
            </w:r>
          </w:p>
        </w:tc>
      </w:tr>
      <w:tr>
        <w:trPr>
          <w:trHeight w:val="297"/>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denominated debt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1,959</w:t>
            </w:r>
          </w:p>
        </w:tc>
        <w:tc>
          <w:tcPr>
            <w:tcW w:w="22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November 30, 2028 to June</w:t>
            </w:r>
          </w:p>
        </w:tc>
        <w:tc>
          <w:tcPr>
            <w:tcW w:w="2180" w:type="dxa"/>
            <w:vAlign w:val="bottom"/>
            <w:shd w:val="clear" w:color="auto" w:fill="CCEEFF"/>
          </w:tcPr>
          <w:p>
            <w:pPr>
              <w:jc w:val="center"/>
              <w:ind w:left="1610"/>
              <w:spacing w:after="0"/>
              <w:rPr>
                <w:sz w:val="20"/>
                <w:szCs w:val="20"/>
                <w:color w:val="auto"/>
              </w:rPr>
            </w:pPr>
            <w:r>
              <w:rPr>
                <w:rFonts w:ascii="Times New Roman" w:cs="Times New Roman" w:eastAsia="Times New Roman" w:hAnsi="Times New Roman"/>
                <w:sz w:val="18"/>
                <w:szCs w:val="18"/>
                <w:color w:val="auto"/>
                <w:w w:val="98"/>
              </w:rPr>
              <w:t>2,031</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30, 2028 to June</w:t>
            </w:r>
          </w:p>
        </w:tc>
      </w:tr>
      <w:tr>
        <w:trPr>
          <w:trHeight w:val="176"/>
        </w:trPr>
        <w:tc>
          <w:tcPr>
            <w:tcW w:w="21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120" w:type="dxa"/>
            <w:vAlign w:val="bottom"/>
            <w:shd w:val="clear" w:color="auto" w:fill="CCEEFF"/>
          </w:tcPr>
          <w:p>
            <w:pPr>
              <w:jc w:val="right"/>
              <w:ind w:right="710"/>
              <w:spacing w:after="0" w:line="176" w:lineRule="exact"/>
              <w:rPr>
                <w:sz w:val="20"/>
                <w:szCs w:val="20"/>
                <w:color w:val="auto"/>
              </w:rPr>
            </w:pPr>
            <w:r>
              <w:rPr>
                <w:rFonts w:ascii="Times New Roman" w:cs="Times New Roman" w:eastAsia="Times New Roman" w:hAnsi="Times New Roman"/>
                <w:sz w:val="18"/>
                <w:szCs w:val="18"/>
                <w:color w:val="auto"/>
              </w:rPr>
              <w:t>4, 2031</w:t>
            </w: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730"/>
              <w:spacing w:after="0" w:line="176" w:lineRule="exact"/>
              <w:rPr>
                <w:sz w:val="20"/>
                <w:szCs w:val="20"/>
                <w:color w:val="auto"/>
              </w:rPr>
            </w:pPr>
            <w:r>
              <w:rPr>
                <w:rFonts w:ascii="Times New Roman" w:cs="Times New Roman" w:eastAsia="Times New Roman" w:hAnsi="Times New Roman"/>
                <w:sz w:val="18"/>
                <w:szCs w:val="18"/>
                <w:color w:val="auto"/>
              </w:rPr>
              <w:t>4, 2031</w:t>
            </w:r>
          </w:p>
        </w:tc>
      </w:t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USD denominated debt</w:t>
            </w:r>
          </w:p>
        </w:tc>
        <w:tc>
          <w:tcPr>
            <w:tcW w:w="2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218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6"/>
              </w:rPr>
              <w:t>200</w:t>
            </w:r>
          </w:p>
        </w:tc>
        <w:tc>
          <w:tcPr>
            <w:tcW w:w="21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November 30, 2030</w:t>
            </w:r>
          </w:p>
        </w:tc>
      </w:tr>
      <w:tr>
        <w:trPr>
          <w:trHeight w:val="297"/>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interest rate</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June 4, 2027</w:t>
            </w:r>
          </w:p>
        </w:tc>
        <w:tc>
          <w:tcPr>
            <w:tcW w:w="2180" w:type="dxa"/>
            <w:vAlign w:val="bottom"/>
            <w:shd w:val="clear" w:color="auto" w:fill="CCEEFF"/>
          </w:tcPr>
          <w:p>
            <w:pPr>
              <w:jc w:val="center"/>
              <w:ind w:left="1610"/>
              <w:spacing w:after="0"/>
              <w:rPr>
                <w:sz w:val="20"/>
                <w:szCs w:val="20"/>
                <w:color w:val="auto"/>
              </w:rPr>
            </w:pPr>
            <w:r>
              <w:rPr>
                <w:rFonts w:ascii="Times New Roman" w:cs="Times New Roman" w:eastAsia="Times New Roman" w:hAnsi="Times New Roman"/>
                <w:sz w:val="18"/>
                <w:szCs w:val="18"/>
                <w:color w:val="auto"/>
                <w:w w:val="98"/>
              </w:rPr>
              <w:t>1,017</w:t>
            </w:r>
          </w:p>
        </w:tc>
        <w:tc>
          <w:tcPr>
            <w:tcW w:w="2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2026 to June</w:t>
            </w:r>
          </w:p>
        </w:tc>
      </w:tr>
      <w:tr>
        <w:trPr>
          <w:trHeight w:val="175"/>
        </w:trPr>
        <w:tc>
          <w:tcPr>
            <w:tcW w:w="2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swaps</w:t>
            </w:r>
          </w:p>
        </w:tc>
        <w:tc>
          <w:tcPr>
            <w:tcW w:w="21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670"/>
              <w:spacing w:after="0" w:line="176" w:lineRule="exact"/>
              <w:rPr>
                <w:sz w:val="20"/>
                <w:szCs w:val="20"/>
                <w:color w:val="auto"/>
              </w:rPr>
            </w:pPr>
            <w:r>
              <w:rPr>
                <w:rFonts w:ascii="Times New Roman" w:cs="Times New Roman" w:eastAsia="Times New Roman" w:hAnsi="Times New Roman"/>
                <w:sz w:val="18"/>
                <w:szCs w:val="18"/>
                <w:color w:val="auto"/>
              </w:rPr>
              <w:t>30, 2027</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(loss) on derivatives designated as net investment hedge recognized in Other comprehensive income (loss)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are summarized below:</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40" w:type="dxa"/>
            <w:vAlign w:val="bottom"/>
            <w:gridSpan w:val="4"/>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r>
      <w:tr>
        <w:trPr>
          <w:trHeight w:val="288"/>
        </w:trPr>
        <w:tc>
          <w:tcPr>
            <w:tcW w:w="6820" w:type="dxa"/>
            <w:vAlign w:val="bottom"/>
          </w:tcPr>
          <w:p>
            <w:pPr>
              <w:ind w:left="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i w:val="1"/>
                <w:iCs w:val="1"/>
                <w:color w:val="auto"/>
              </w:rPr>
              <w:t>$ in millions)</w:t>
            </w:r>
          </w:p>
        </w:tc>
        <w:tc>
          <w:tcPr>
            <w:tcW w:w="480" w:type="dxa"/>
            <w:vAlign w:val="bottom"/>
          </w:tcPr>
          <w:p>
            <w:pPr>
              <w:spacing w:after="0"/>
              <w:rPr>
                <w:sz w:val="24"/>
                <w:szCs w:val="24"/>
                <w:color w:val="auto"/>
              </w:rPr>
            </w:pPr>
          </w:p>
        </w:tc>
        <w:tc>
          <w:tcPr>
            <w:tcW w:w="3940" w:type="dxa"/>
            <w:vAlign w:val="bottom"/>
            <w:gridSpan w:val="4"/>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r>
      <w:tr>
        <w:trPr>
          <w:trHeight w:val="259"/>
        </w:trPr>
        <w:tc>
          <w:tcPr>
            <w:tcW w:w="6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7"/>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denominated debt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denominated debt</w:t>
            </w:r>
          </w:p>
        </w:tc>
        <w:tc>
          <w:tcPr>
            <w:tcW w:w="480" w:type="dxa"/>
            <w:vAlign w:val="bottom"/>
          </w:tcPr>
          <w:p>
            <w:pPr>
              <w:spacing w:after="0"/>
              <w:rPr>
                <w:sz w:val="23"/>
                <w:szCs w:val="23"/>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4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7"/>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r>
      <w:tr>
        <w:trPr>
          <w:trHeight w:val="459"/>
        </w:trPr>
        <w:tc>
          <w:tcPr>
            <w:tcW w:w="6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940" w:type="dxa"/>
            <w:vAlign w:val="bottom"/>
            <w:gridSpan w:val="4"/>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in millions)</w:t>
            </w:r>
          </w:p>
        </w:tc>
        <w:tc>
          <w:tcPr>
            <w:tcW w:w="480" w:type="dxa"/>
            <w:vAlign w:val="bottom"/>
          </w:tcPr>
          <w:p>
            <w:pPr>
              <w:spacing w:after="0"/>
              <w:rPr>
                <w:sz w:val="21"/>
                <w:szCs w:val="21"/>
                <w:color w:val="auto"/>
              </w:rPr>
            </w:pPr>
          </w:p>
        </w:tc>
        <w:tc>
          <w:tcPr>
            <w:tcW w:w="394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43"/>
        </w:trPr>
        <w:tc>
          <w:tcPr>
            <w:tcW w:w="6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8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4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denominated debt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USD denominated debt</w:t>
            </w:r>
          </w:p>
        </w:tc>
        <w:tc>
          <w:tcPr>
            <w:tcW w:w="48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4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5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amounts reclassified out of accumulated other comprehensive income (loss) pertaining to the net investment hedges during the three and nine months ended September 30, 2026 and 2025 as the Group had not sold or liquidated (or substantially liquidated) any of its hedged subsidiaries.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derivatives as of September 30, 2026 and December 31, 2025: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70"/>
        </w:trPr>
        <w:tc>
          <w:tcPr>
            <w:tcW w:w="5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 xml:space="preserve">Assets </w:t>
            </w:r>
            <w:r>
              <w:rPr>
                <w:rFonts w:ascii="Times New Roman" w:cs="Times New Roman" w:eastAsia="Times New Roman" w:hAnsi="Times New Roman"/>
                <w:sz w:val="23"/>
                <w:szCs w:val="23"/>
                <w:b w:val="1"/>
                <w:bCs w:val="1"/>
                <w:color w:val="auto"/>
                <w:vertAlign w:val="superscript"/>
              </w:rPr>
              <w:t>1</w:t>
            </w:r>
          </w:p>
        </w:tc>
        <w:tc>
          <w:tcPr>
            <w:tcW w:w="180" w:type="dxa"/>
            <w:vAlign w:val="bottom"/>
          </w:tcPr>
          <w:p>
            <w:pPr>
              <w:spacing w:after="0"/>
              <w:rPr>
                <w:sz w:val="23"/>
                <w:szCs w:val="2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23"/>
                <w:szCs w:val="23"/>
                <w:b w:val="1"/>
                <w:bCs w:val="1"/>
                <w:color w:val="auto"/>
                <w:vertAlign w:val="superscript"/>
              </w:rPr>
              <w:t>2</w:t>
            </w:r>
          </w:p>
        </w:tc>
        <w:tc>
          <w:tcPr>
            <w:tcW w:w="26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Assets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23"/>
                <w:szCs w:val="23"/>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xml:space="preserve">Liabilities </w:t>
            </w:r>
            <w:r>
              <w:rPr>
                <w:rFonts w:ascii="Times New Roman" w:cs="Times New Roman" w:eastAsia="Times New Roman" w:hAnsi="Times New Roman"/>
                <w:sz w:val="23"/>
                <w:szCs w:val="23"/>
                <w:b w:val="1"/>
                <w:bCs w:val="1"/>
                <w:color w:val="auto"/>
                <w:vertAlign w:val="superscript"/>
              </w:rPr>
              <w:t>2</w:t>
            </w:r>
          </w:p>
        </w:tc>
      </w:tr>
      <w:tr>
        <w:trPr>
          <w:trHeight w:val="250"/>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cash flow hedges:</w:t>
            </w:r>
          </w:p>
        </w:tc>
        <w:tc>
          <w:tcPr>
            <w:tcW w:w="2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70"/>
        </w:trPr>
        <w:tc>
          <w:tcPr>
            <w:tcW w:w="5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5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r>
      <w:tr>
        <w:trPr>
          <w:trHeight w:val="237"/>
        </w:trPr>
        <w:tc>
          <w:tcPr>
            <w:tcW w:w="5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fair value hedges:</w:t>
            </w: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7"/>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7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fair value hedges</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36"/>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Derivatives designated as net investment hedges:</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7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Cross-currency interest rate swaps</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5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designated as net investment hedges</w:t>
            </w: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r>
      <w:tr>
        <w:trPr>
          <w:trHeight w:val="237"/>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Derivatives not designated as hedging instruments:</w:t>
            </w: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7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hedging instruments</w:t>
            </w: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r>
    </w:tbl>
    <w:p>
      <w:pPr>
        <w:spacing w:after="0" w:line="180" w:lineRule="exact"/>
        <w:rPr>
          <w:sz w:val="20"/>
          <w:szCs w:val="20"/>
          <w:color w:val="auto"/>
        </w:rPr>
      </w:pPr>
    </w:p>
    <w:p>
      <w:pPr>
        <w:ind w:left="440" w:hanging="432"/>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assets are recorded within Prepaid expenses and other current assets and other non-current assets in the Unaudited Condensed Consolidated Balance Sheets.</w:t>
      </w:r>
    </w:p>
    <w:p>
      <w:pPr>
        <w:spacing w:after="0" w:line="17" w:lineRule="exact"/>
        <w:rPr>
          <w:rFonts w:ascii="Times New Roman" w:cs="Times New Roman" w:eastAsia="Times New Roman" w:hAnsi="Times New Roman"/>
          <w:sz w:val="14"/>
          <w:szCs w:val="14"/>
          <w:color w:val="auto"/>
        </w:rPr>
      </w:pPr>
    </w:p>
    <w:p>
      <w:pPr>
        <w:ind w:left="440" w:hanging="432"/>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Derivative liabilities are recorded within Other current liabilities and other non-current liabilities in the Unaudited Condensed Consolidated Balance Sheets.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Group maintains various share plans for employees (and, where the specific rules permit, non-executive directors and/or non-employee contractors).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material activity within the share plans, for the nine months ended September 30, 2026, are included below.</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Flutter Entertainment plc 2024 Omnibus Equity Incentive Plan (the “2024 Incentive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activity under the 2024 Incentive Plan:</w:t>
      </w: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28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Restricted Share Awards</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321"/>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4"/>
        </w:trPr>
        <w:tc>
          <w:tcPr>
            <w:tcW w:w="4020" w:type="dxa"/>
            <w:vAlign w:val="bottom"/>
          </w:tcPr>
          <w:p>
            <w:pPr>
              <w:spacing w:after="0"/>
              <w:rPr>
                <w:sz w:val="17"/>
                <w:szCs w:val="17"/>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Units</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11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20" w:type="dxa"/>
            <w:vAlign w:val="bottom"/>
            <w:vMerge w:val="continue"/>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30,834</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2,615,447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78,815</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Exercised/vested</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(391,218)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(8,733)</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Cancelled/lapsed</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(298,801)</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(6,483)</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September 30, 2026</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2,909,649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94,433</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7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addition to the plan disclosed above, there were 95,986 awards granted, 729,153 awards vested, 260,527 stock options exercised and 367,164 awards cancelled/lapsed across the Group’s other plans during the nine months ended September 30, 2026.</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certain vesting conditions were modified for certain awards. The resulting incremental compensation costs were immaterial to these Unaudited Condensed Consolidated Financial Statements.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4,633,590 restricted awards and options were outstanding across all employee share plans.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2026, liability-classified awards, amounting to nil and $12 million, respectively, were settled by the issuance of ordinary shares of equivalent value.</w:t>
      </w:r>
    </w:p>
    <w:p>
      <w:pPr>
        <w:spacing w:after="0" w:line="5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Total compensation costs included in our Unaudited Condensed Consolidated Statements of Comprehensive (Loss) Income for the three and nine months ended September 30, 2026 and September 30, 2025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700" w:type="dxa"/>
            <w:vAlign w:val="bottom"/>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w:t>
            </w:r>
          </w:p>
        </w:tc>
        <w:tc>
          <w:tcPr>
            <w:tcW w:w="500" w:type="dxa"/>
            <w:vAlign w:val="bottom"/>
          </w:tcPr>
          <w:p>
            <w:pPr>
              <w:spacing w:after="0"/>
              <w:rPr>
                <w:sz w:val="19"/>
                <w:szCs w:val="19"/>
                <w:color w:val="auto"/>
              </w:rPr>
            </w:pPr>
          </w:p>
        </w:tc>
        <w:tc>
          <w:tcPr>
            <w:tcW w:w="156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research and development expenses</w:t>
            </w: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89"/>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16"/>
        </w:trPr>
        <w:tc>
          <w:tcPr>
            <w:tcW w:w="7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4"/>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w:t>
            </w:r>
          </w:p>
        </w:tc>
        <w:tc>
          <w:tcPr>
            <w:tcW w:w="500" w:type="dxa"/>
            <w:vAlign w:val="bottom"/>
          </w:tcPr>
          <w:p>
            <w:pPr>
              <w:spacing w:after="0"/>
              <w:rPr>
                <w:sz w:val="19"/>
                <w:szCs w:val="19"/>
                <w:color w:val="auto"/>
              </w:rPr>
            </w:pPr>
          </w:p>
        </w:tc>
        <w:tc>
          <w:tcPr>
            <w:tcW w:w="1560" w:type="dxa"/>
            <w:vAlign w:val="bottom"/>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0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7"/>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research and development expenses</w:t>
            </w: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3"/>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8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FAIR VALUE MEASUREMENTS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Group’s consolidated financial instruments including cash and cash equivalents, player deposits, accounts receivable, other current assets, accounts payable, player deposit liability, and other current liabilities are carried at amortized cost. As of September 30, 2026 and December 31, 2025, the carrying amounts of these financial instruments approximated their fair values because of their short-term nature.</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carrying amount of long-term debt outstanding under the Credit Agreement dated November 24, 2023, (as amended), approximates its fair values, as interest rates on these borrowings approximate current market rates. The fair value of the USD Senior Secured Notes, Euro Senior Secured Notes, and GBP Senior Secured Notes was $2,074 million, $1,479 million and $891 million, respectively, as of September 30, 2026 (December 31, 2025: $2,190 million, $1,603 million and $952 million, respectively). The fair values are based on quoted market prices.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Group’s financial assets, financial liabilities and redeemable non-controlling interests measured at fair value based on the three-tier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As of September 30, 2026</w:t>
            </w:r>
          </w:p>
        </w:tc>
        <w:tc>
          <w:tcPr>
            <w:tcW w:w="2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Level 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3"/>
                <w:szCs w:val="13"/>
                <w:b w:val="1"/>
                <w:bCs w:val="1"/>
                <w:color w:val="auto"/>
                <w:w w:val="76"/>
              </w:rPr>
              <w:t>  </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Level 2    </w:t>
            </w:r>
          </w:p>
        </w:tc>
        <w:tc>
          <w:tcPr>
            <w:tcW w:w="1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2"/>
              </w:rPr>
              <w:t>  </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Level 3    </w:t>
            </w:r>
          </w:p>
        </w:tc>
        <w:tc>
          <w:tcPr>
            <w:tcW w:w="2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3"/>
              </w:rPr>
              <w:t>  </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Total    </w:t>
            </w:r>
          </w:p>
        </w:tc>
      </w:tr>
      <w:tr>
        <w:trPr>
          <w:trHeight w:val="257"/>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Financial assets measured at fair value:</w:t>
            </w: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r>
      <w:tr>
        <w:trPr>
          <w:trHeight w:val="27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Equity securities – Investments</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3"/>
                <w:szCs w:val="23"/>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Derivative financial assets</w:t>
            </w: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5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Financial liabilities measured at fair value:</w:t>
            </w:r>
          </w:p>
        </w:tc>
        <w:tc>
          <w:tcPr>
            <w:tcW w:w="3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Derivative financial liabilities</w:t>
            </w:r>
          </w:p>
        </w:tc>
        <w:tc>
          <w:tcPr>
            <w:tcW w:w="38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Fox Option liability</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3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w:t>
            </w:r>
          </w:p>
        </w:tc>
      </w:tr>
      <w:tr>
        <w:trPr>
          <w:trHeight w:val="27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Redeemable non-controlling interests at fair value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12"/>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1.  Excludes an investment in equity measured at cost amounting to $10 million</w:t>
            </w:r>
            <w:r>
              <w:rPr>
                <w:rFonts w:ascii="Times New Roman" w:cs="Times New Roman" w:eastAsia="Times New Roman" w:hAnsi="Times New Roman"/>
                <w:sz w:val="17"/>
                <w:szCs w:val="17"/>
                <w:color w:val="auto"/>
              </w:rPr>
              <w:t>.</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57"/>
        </w:trPr>
        <w:tc>
          <w:tcPr>
            <w:tcW w:w="50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6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Level 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7"/>
                <w:szCs w:val="17"/>
                <w:b w:val="1"/>
                <w:bCs w:val="1"/>
                <w:color w:val="auto"/>
                <w:w w:val="70"/>
              </w:rPr>
              <w:t> </w:t>
            </w: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2 </w:t>
            </w:r>
          </w:p>
        </w:tc>
        <w:tc>
          <w:tcPr>
            <w:tcW w:w="18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 </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3 </w:t>
            </w:r>
          </w:p>
        </w:tc>
        <w:tc>
          <w:tcPr>
            <w:tcW w:w="22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 </w:t>
            </w:r>
          </w:p>
        </w:tc>
        <w:tc>
          <w:tcPr>
            <w:tcW w:w="10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7"/>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Financial assets measured at fair value:</w:t>
            </w: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Available for sale – Player deposits – Investments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Equity securities – Investments</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assets</w:t>
            </w:r>
          </w:p>
        </w:tc>
        <w:tc>
          <w:tcPr>
            <w:tcW w:w="38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7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Financial liabilities measured at fair value:</w:t>
            </w: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Derivative financial liabilities</w:t>
            </w: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6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Fox Option Liability</w:t>
            </w:r>
          </w:p>
        </w:tc>
        <w:tc>
          <w:tcPr>
            <w:tcW w:w="38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r>
      <w:tr>
        <w:trPr>
          <w:trHeight w:val="270"/>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Total</w:t>
            </w:r>
          </w:p>
        </w:tc>
        <w:tc>
          <w:tcPr>
            <w:tcW w:w="38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r>
      <w:tr>
        <w:trPr>
          <w:trHeight w:val="257"/>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Redeemable non-controlling interests at fair value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c>
          <w:tcPr>
            <w:tcW w:w="10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r>
      <w:tr>
        <w:trPr>
          <w:trHeight w:val="1242"/>
        </w:trPr>
        <w:tc>
          <w:tcPr>
            <w:tcW w:w="506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r>
      <w:tr>
        <w:trPr>
          <w:trHeight w:val="101"/>
        </w:trPr>
        <w:tc>
          <w:tcPr>
            <w:tcW w:w="50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Level 2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Available for sale – Player deposits – investments</w:t>
      </w:r>
    </w:p>
    <w:p>
      <w:pPr>
        <w:spacing w:after="0" w:line="11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Group has determined the fair value of available for sale – player deposits – investments by using observable quoted prices or observable input parameters derived from comparable bonds/markets. Although the Group has determined that a number of the bonds fall within Level 1 of the fair value hierarchy, there are a class of bonds which have been classified as Level 2 due to the existence of relatively inactive trading markets for those bonds.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assets and liabilities – Swap agreements</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Group uses derivative financial instruments to manage its interest rate and foreign currency risk. The valuation of these instruments is determined using widely accepted valuation techniques including discounted cash flow analysis of the expected cash flows of each derivative. This analysis reflects the contractual terms of the derivatives, including the period to maturity, and uses observable market-based inputs, such as yield curves, spot and forward foreign exchange rates.</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As of September 30, 2026, the Group assessed the significance of the impact of the credit valuation adjustments on the overall valuation of its derivative positions and determined that the credit valuation adjustments are not significant to the overall valuation of its derivatives. As a result, the Group determined that its valuations of its derivatives in their entirety are classified in Level 2 of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of Level 3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Non-derivative financial instruments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 Option liability</w:t>
      </w:r>
    </w:p>
    <w:p>
      <w:pPr>
        <w:spacing w:after="0" w:line="11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October 2, 2019, the Group entered into an arrangement with Fox Corporation (“Fox”), pursuant to which FSG Services LLC, a wholly-owned subsidiary of Fox, has an option (the Fox Option) to acquire an 18.6% equity interest of the then outstanding investor units (the “Fastball Units”) in FanDuel Group Parent LLC (“FanDuel”). In April 2021, Fox filed an arbitration claim against the Group with respect to its option to acquire an 18.6% equity interest in FanDuel seeking the same price that the Group paid for the acquisition of the Fastball Units (37.2% of FanDuel) from Fastball Holdings LLC in December 2020. On November 7, 2022, the arbitration tribunal determined the option price as of December 2020 to be $3.7 billion plus an annual escalator of 5.0%. Fox has a ten-year period from December 2020 within which to exercise the Fox Option, should it wish to do so, and should Fox not exercise within this timeframe, the Fox Option shall lapse. Cash payment is required at the time of exercise and the Fox Option can only be exercised in full. Exercise of the Fox Option requires Fox to be licensed.</w:t>
      </w:r>
    </w:p>
    <w:p>
      <w:pPr>
        <w:spacing w:after="0" w:line="8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fair value of the Fox Option liability amounted to $100 million as of September 30, 2026 and $560 million as of December 31, 2025 which was determined using an option pricing model. As of September 30, 2026 and December 31, 2025, the option exercise price was $4.9 billion and $4.8 billion respectively. The significant unobservable inputs were the enterprise value of FanDuel, the discount for lack of marketability (“DLOM”), the discount for lack of control (“DLOC”), implied volatility and probability of Fox getting licensed.</w:t>
      </w:r>
    </w:p>
    <w:p>
      <w:pPr>
        <w:spacing w:after="0" w:line="72"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enterprise value of FanDuel was determined using an equal weight to the value indications of the discounted cash flow analysis and the guideline public company analysis. The discount rate used in the discounted cash flow analysis was 22.5% and 18.0% as of each of September 30, 2026 and December 31, 2025, respectively.</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Additionally, management applied a combined 30.0% discount for lack of marketability and lack of control as of each of September 30, 2026, and December 31, 2025. A range of DLOMs obtained using various securities-based approaches was 12.7% to 20.2%. DLOC was estimated at 20.0% using implied discounts in previous observable transactions involving FanDuel’s equity ownership and data based on Mergerstat studies as of each of September 30, 2026 and December 31, 2025.</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selected a discount rate of 30.0%, which lies in the first quartile based on the ranges considered by management.</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volatility was 40.0% and 32.0% as of each of September 30, 2026 and December 31, 2025, which was within the range of selected comparable companies. In developing the fair value measurement, the probability of a market participant submitting to and obtaining a license was estimated at 75.0% as of each of September 30, 2026 and December 31, 2025.</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Changes in discount rates, revenue multiples, DLOM, DLOC, implied volatility and probability of Fox getting licensed, each in isolation, may change the fair value of the Fox Option liability. Generally, an increase in discount rates, DLOM and DLOC or decrease in revenue multiples, volatility and probability of Fox getting licensed may result in a decrease in the fair value of the Fox Option liability. Due to the inherent uncertainty of determining the fair value of the Fox Option liability, the fair value of the Fox Option liability may fluctuate from period to period. Additionally, the fair value of the Fox Option liability may differ significantly from the value that would have been used had a readily available market existed for FanDuel Group LLC. In addition, changes in the market environment and other events that may occur over the life of the Fox Option may cause the losses ultimately realized on the Fox Option liability to be different than the unrealized losses reflected in the valuations currently assigned.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Redeemable non-controlling interests at fair value</w:t>
      </w:r>
    </w:p>
    <w:p>
      <w:pPr>
        <w:spacing w:after="0" w:line="10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Following the Measure announced on September 25, 2026 banning fixed-odds sports betting and online gaming, our operations in Brazil were ceased. Accordingly, the enterprise value of the Brazil reporting unit and the associated redeemable non-controlling interests at fair value were determined to be nil as of September 30, 2026.</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Movements in the three months period in respect of Level 3 financial instruments carried at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respect of the financial assets and liabilities carried at fair value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76"/>
        </w:trPr>
        <w:tc>
          <w:tcPr>
            <w:tcW w:w="4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non-</w:t>
            </w:r>
          </w:p>
        </w:tc>
        <w:tc>
          <w:tcPr>
            <w:tcW w:w="0" w:type="dxa"/>
            <w:vAlign w:val="bottom"/>
          </w:tcPr>
          <w:p>
            <w:pPr>
              <w:spacing w:after="0"/>
              <w:rPr>
                <w:sz w:val="1"/>
                <w:szCs w:val="1"/>
                <w:color w:val="auto"/>
              </w:rPr>
            </w:pPr>
          </w:p>
        </w:tc>
      </w:tr>
      <w:tr>
        <w:trPr>
          <w:trHeight w:val="180"/>
        </w:trPr>
        <w:tc>
          <w:tcPr>
            <w:tcW w:w="4640" w:type="dxa"/>
            <w:vAlign w:val="bottom"/>
          </w:tcPr>
          <w:p>
            <w:pPr>
              <w:spacing w:after="0"/>
              <w:rPr>
                <w:sz w:val="15"/>
                <w:szCs w:val="15"/>
                <w:color w:val="auto"/>
              </w:rPr>
            </w:pPr>
          </w:p>
        </w:tc>
        <w:tc>
          <w:tcPr>
            <w:tcW w:w="12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Fox option</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0" w:type="dxa"/>
            <w:vAlign w:val="bottom"/>
          </w:tcPr>
          <w:p>
            <w:pPr>
              <w:spacing w:after="0"/>
              <w:rPr>
                <w:sz w:val="1"/>
                <w:szCs w:val="1"/>
                <w:color w:val="auto"/>
              </w:rPr>
            </w:pPr>
          </w:p>
        </w:tc>
      </w:tr>
      <w:tr>
        <w:trPr>
          <w:trHeight w:val="184"/>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2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Borders>
              <w:right w:val="single" w:sz="8" w:color="auto"/>
            </w:tcBorders>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jc w:val="center"/>
              <w:ind w:right="110"/>
              <w:spacing w:after="0" w:line="184" w:lineRule="exact"/>
              <w:rPr>
                <w:sz w:val="20"/>
                <w:szCs w:val="20"/>
                <w:color w:val="auto"/>
              </w:rPr>
            </w:pPr>
            <w:r>
              <w:rPr>
                <w:rFonts w:ascii="Times New Roman" w:cs="Times New Roman" w:eastAsia="Times New Roman" w:hAnsi="Times New Roman"/>
                <w:sz w:val="18"/>
                <w:szCs w:val="18"/>
                <w:b w:val="1"/>
                <w:bCs w:val="1"/>
                <w:color w:val="auto"/>
                <w:w w:val="98"/>
              </w:rPr>
              <w:t>interest at</w:t>
            </w:r>
          </w:p>
        </w:tc>
        <w:tc>
          <w:tcPr>
            <w:tcW w:w="0" w:type="dxa"/>
            <w:vAlign w:val="bottom"/>
          </w:tcPr>
          <w:p>
            <w:pPr>
              <w:spacing w:after="0"/>
              <w:rPr>
                <w:sz w:val="1"/>
                <w:szCs w:val="1"/>
                <w:color w:val="auto"/>
              </w:rPr>
            </w:pPr>
          </w:p>
        </w:tc>
      </w:tr>
      <w:tr>
        <w:trPr>
          <w:trHeight w:val="241"/>
        </w:trPr>
        <w:tc>
          <w:tcPr>
            <w:tcW w:w="4640" w:type="dxa"/>
            <w:vAlign w:val="bottom"/>
            <w:vMerge w:val="continue"/>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340" w:type="dxa"/>
            <w:vAlign w:val="bottom"/>
          </w:tcPr>
          <w:p>
            <w:pPr>
              <w:spacing w:after="0"/>
              <w:rPr>
                <w:sz w:val="20"/>
                <w:szCs w:val="20"/>
                <w:color w:val="auto"/>
              </w:rPr>
            </w:pPr>
          </w:p>
        </w:tc>
        <w:tc>
          <w:tcPr>
            <w:tcW w:w="132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66"/>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2026</w:t>
            </w:r>
          </w:p>
        </w:tc>
        <w:tc>
          <w:tcPr>
            <w:tcW w:w="12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0" w:type="dxa"/>
            <w:vAlign w:val="bottom"/>
          </w:tcPr>
          <w:p>
            <w:pPr>
              <w:spacing w:after="0"/>
              <w:rPr>
                <w:sz w:val="1"/>
                <w:szCs w:val="1"/>
                <w:color w:val="auto"/>
              </w:rPr>
            </w:pPr>
          </w:p>
        </w:tc>
      </w:tr>
      <w:tr>
        <w:trPr>
          <w:trHeight w:val="26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gains or losses for the period:</w:t>
            </w: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Included in earnings</w:t>
            </w: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other comprehensive (loss) income</w:t>
            </w:r>
          </w:p>
        </w:tc>
        <w:tc>
          <w:tcPr>
            <w:tcW w:w="122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Attribution of net income and other comprehensive income:</w:t>
            </w:r>
          </w:p>
        </w:tc>
        <w:tc>
          <w:tcPr>
            <w:tcW w:w="1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22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31"/>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comprehensive gain attributable to redeemable non-</w:t>
            </w: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controlling interest</w:t>
            </w:r>
          </w:p>
        </w:tc>
        <w:tc>
          <w:tcPr>
            <w:tcW w:w="122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Acquisitions and settlements:</w:t>
            </w: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 of redeemable non-controlling interest</w:t>
            </w:r>
          </w:p>
        </w:tc>
        <w:tc>
          <w:tcPr>
            <w:tcW w:w="1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Settlements</w:t>
            </w:r>
          </w:p>
        </w:tc>
        <w:tc>
          <w:tcPr>
            <w:tcW w:w="122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 of redeemable non-controlling interest at</w:t>
            </w: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4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redemption at fair value</w:t>
            </w:r>
          </w:p>
        </w:tc>
        <w:tc>
          <w:tcPr>
            <w:tcW w:w="12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2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unrealized gains or losses for the period</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included in earnings</w:t>
            </w:r>
          </w:p>
        </w:tc>
        <w:tc>
          <w:tcPr>
            <w:tcW w:w="12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1"/>
        </w:trPr>
        <w:tc>
          <w:tcPr>
            <w:tcW w:w="46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Change in unrealized gains or losses for the period</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included in other  comprehensive (loss) income</w:t>
            </w:r>
          </w:p>
        </w:tc>
        <w:tc>
          <w:tcPr>
            <w:tcW w:w="122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6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r>
      <w:tr>
        <w:trPr>
          <w:trHeight w:val="216"/>
        </w:trPr>
        <w:tc>
          <w:tcPr>
            <w:tcW w:w="4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non-</w:t>
            </w:r>
          </w:p>
        </w:tc>
      </w:tr>
      <w:tr>
        <w:trPr>
          <w:trHeight w:val="203"/>
        </w:trPr>
        <w:tc>
          <w:tcPr>
            <w:tcW w:w="4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controlling</w:t>
            </w:r>
          </w:p>
        </w:tc>
      </w:tr>
      <w:tr>
        <w:trPr>
          <w:trHeight w:val="203"/>
        </w:trPr>
        <w:tc>
          <w:tcPr>
            <w:tcW w:w="4640" w:type="dxa"/>
            <w:vAlign w:val="bottom"/>
          </w:tcPr>
          <w:p>
            <w:pPr>
              <w:spacing w:after="0"/>
              <w:rPr>
                <w:sz w:val="17"/>
                <w:szCs w:val="17"/>
                <w:color w:val="auto"/>
              </w:rPr>
            </w:pPr>
          </w:p>
        </w:tc>
        <w:tc>
          <w:tcPr>
            <w:tcW w:w="1220" w:type="dxa"/>
            <w:vAlign w:val="bottom"/>
          </w:tcPr>
          <w:p>
            <w:pPr>
              <w:jc w:val="center"/>
              <w:ind w:left="2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jc w:val="center"/>
              <w:ind w:right="380"/>
              <w:spacing w:after="0" w:line="202" w:lineRule="exact"/>
              <w:rPr>
                <w:sz w:val="20"/>
                <w:szCs w:val="20"/>
                <w:color w:val="auto"/>
              </w:rPr>
            </w:pPr>
            <w:r>
              <w:rPr>
                <w:rFonts w:ascii="Times New Roman" w:cs="Times New Roman" w:eastAsia="Times New Roman" w:hAnsi="Times New Roman"/>
                <w:sz w:val="18"/>
                <w:szCs w:val="18"/>
                <w:b w:val="1"/>
                <w:bCs w:val="1"/>
                <w:color w:val="auto"/>
              </w:rPr>
              <w:t>Fox option</w:t>
            </w: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interest at</w:t>
            </w:r>
          </w:p>
        </w:tc>
      </w:tr>
      <w:tr>
        <w:trPr>
          <w:trHeight w:val="25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2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340" w:type="dxa"/>
            <w:vAlign w:val="bottom"/>
          </w:tcPr>
          <w:p>
            <w:pPr>
              <w:spacing w:after="0"/>
              <w:rPr>
                <w:sz w:val="22"/>
                <w:szCs w:val="22"/>
                <w:color w:val="auto"/>
              </w:rPr>
            </w:pPr>
          </w:p>
        </w:tc>
        <w:tc>
          <w:tcPr>
            <w:tcW w:w="1320" w:type="dxa"/>
            <w:vAlign w:val="bottom"/>
            <w:tcBorders>
              <w:right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70"/>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(553)</w:t>
            </w:r>
          </w:p>
        </w:tc>
        <w:tc>
          <w:tcPr>
            <w:tcW w:w="120" w:type="dxa"/>
            <w:vAlign w:val="bottom"/>
            <w:tcBorders>
              <w:top w:val="single" w:sz="8" w:color="CCEEFF"/>
              <w:right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w:t>
            </w:r>
          </w:p>
        </w:tc>
      </w:tr>
      <w:tr>
        <w:trPr>
          <w:trHeight w:val="27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 gains or losses for the period:</w:t>
            </w:r>
          </w:p>
        </w:tc>
        <w:tc>
          <w:tcPr>
            <w:tcW w:w="1220" w:type="dxa"/>
            <w:vAlign w:val="bottom"/>
          </w:tcPr>
          <w:p>
            <w:pPr>
              <w:spacing w:after="0"/>
              <w:rPr>
                <w:sz w:val="23"/>
                <w:szCs w:val="2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Included in earnings</w:t>
            </w:r>
          </w:p>
        </w:tc>
        <w:tc>
          <w:tcPr>
            <w:tcW w:w="122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220" w:type="dxa"/>
            <w:vAlign w:val="bottom"/>
          </w:tcPr>
          <w:p>
            <w:pPr>
              <w:spacing w:after="0"/>
              <w:rPr>
                <w:sz w:val="22"/>
                <w:szCs w:val="2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Attribution of net loss and other comprehensive income:</w:t>
            </w:r>
          </w:p>
        </w:tc>
        <w:tc>
          <w:tcPr>
            <w:tcW w:w="1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tcBorders>
              <w:right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24"/>
                <w:szCs w:val="24"/>
                <w:color w:val="auto"/>
              </w:rPr>
            </w:pPr>
          </w:p>
        </w:tc>
      </w:tr>
      <w:tr>
        <w:trPr>
          <w:trHeight w:val="263"/>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w:t>
            </w:r>
          </w:p>
        </w:tc>
        <w:tc>
          <w:tcPr>
            <w:tcW w:w="122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1"/>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gain attributable to redeemable non-</w:t>
            </w: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61"/>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controlling interest</w:t>
            </w:r>
          </w:p>
        </w:tc>
        <w:tc>
          <w:tcPr>
            <w:tcW w:w="12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Acquisitions and settlements:</w:t>
            </w: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77"/>
        </w:trPr>
        <w:tc>
          <w:tcPr>
            <w:tcW w:w="4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 of redeemable non-controlling interest</w:t>
            </w:r>
          </w:p>
        </w:tc>
        <w:tc>
          <w:tcPr>
            <w:tcW w:w="12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4"/>
                <w:szCs w:val="24"/>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4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Settlements</w:t>
            </w:r>
          </w:p>
        </w:tc>
        <w:tc>
          <w:tcPr>
            <w:tcW w:w="1220" w:type="dxa"/>
            <w:vAlign w:val="bottom"/>
          </w:tcPr>
          <w:p>
            <w:pPr>
              <w:spacing w:after="0"/>
              <w:rPr>
                <w:sz w:val="22"/>
                <w:szCs w:val="22"/>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 of redeemable non-controlling interest at</w:t>
            </w: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61"/>
        </w:trPr>
        <w:tc>
          <w:tcPr>
            <w:tcW w:w="4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redemption at fair value</w:t>
            </w:r>
          </w:p>
        </w:tc>
        <w:tc>
          <w:tcPr>
            <w:tcW w:w="122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320" w:type="dxa"/>
            <w:vAlign w:val="bottom"/>
            <w:tcBorders>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46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September 30, 2026</w:t>
            </w:r>
          </w:p>
        </w:tc>
        <w:tc>
          <w:tcPr>
            <w:tcW w:w="12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20" w:type="dxa"/>
            <w:vAlign w:val="bottom"/>
            <w:tcBorders>
              <w:bottom w:val="single" w:sz="8" w:color="CCEEFF"/>
              <w:right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7"/>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Change in unrealized gains or losses for the period</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65"/>
        </w:trPr>
        <w:tc>
          <w:tcPr>
            <w:tcW w:w="4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included in earnings</w:t>
            </w:r>
          </w:p>
        </w:tc>
        <w:tc>
          <w:tcPr>
            <w:tcW w:w="122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20" w:type="dxa"/>
            <w:vAlign w:val="bottom"/>
            <w:tcBorders>
              <w:right w:val="single" w:sz="8" w:color="auto"/>
            </w:tcBorders>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1"/>
        </w:trPr>
        <w:tc>
          <w:tcPr>
            <w:tcW w:w="4640" w:type="dxa"/>
            <w:vAlign w:val="bottom"/>
          </w:tcPr>
          <w:p>
            <w:pPr>
              <w:ind w:left="40"/>
              <w:spacing w:after="0" w:line="201" w:lineRule="exact"/>
              <w:rPr>
                <w:sz w:val="20"/>
                <w:szCs w:val="20"/>
                <w:color w:val="auto"/>
              </w:rPr>
            </w:pPr>
            <w:r>
              <w:rPr>
                <w:rFonts w:ascii="Times New Roman" w:cs="Times New Roman" w:eastAsia="Times New Roman" w:hAnsi="Times New Roman"/>
                <w:sz w:val="18"/>
                <w:szCs w:val="18"/>
                <w:b w:val="1"/>
                <w:bCs w:val="1"/>
                <w:color w:val="auto"/>
              </w:rPr>
              <w:t>Change in unrealized gains or losses for the period</w:t>
            </w: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59"/>
        </w:trPr>
        <w:tc>
          <w:tcPr>
            <w:tcW w:w="4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included in other comprehensive income (loss)</w:t>
            </w: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2"/>
                <w:szCs w:val="22"/>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2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Fox option</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interest at</w:t>
            </w: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7"/>
                <w:szCs w:val="17"/>
                <w:color w:val="auto"/>
              </w:rPr>
            </w:pPr>
          </w:p>
        </w:tc>
        <w:tc>
          <w:tcPr>
            <w:tcW w:w="132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tc>
        <w:tc>
          <w:tcPr>
            <w:tcW w:w="1280" w:type="dxa"/>
            <w:vAlign w:val="bottom"/>
            <w:tcBorders>
              <w:bottom w:val="single" w:sz="8" w:color="CCEEFF"/>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(743)</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gains or losses for the period:</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Included in earnings</w:t>
            </w:r>
          </w:p>
        </w:tc>
        <w:tc>
          <w:tcPr>
            <w:tcW w:w="12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Included in other comprehensive income</w:t>
            </w:r>
          </w:p>
        </w:tc>
        <w:tc>
          <w:tcPr>
            <w:tcW w:w="128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Attribution of net loss and other comprehensive</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2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loss attributable to redeemable non-</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controlling interest</w:t>
            </w:r>
          </w:p>
        </w:tc>
        <w:tc>
          <w:tcPr>
            <w:tcW w:w="1280" w:type="dxa"/>
            <w:vAlign w:val="bottom"/>
          </w:tcPr>
          <w:p>
            <w:pPr>
              <w:spacing w:after="0"/>
              <w:rPr>
                <w:sz w:val="16"/>
                <w:szCs w:val="16"/>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comprehensive gain attributable to</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2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Acquisitions and settlements:</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 of redeemable non-controlling</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2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Settlements</w:t>
            </w:r>
          </w:p>
        </w:tc>
        <w:tc>
          <w:tcPr>
            <w:tcW w:w="1280" w:type="dxa"/>
            <w:vAlign w:val="bottom"/>
          </w:tcPr>
          <w:p>
            <w:pPr>
              <w:spacing w:after="0"/>
              <w:rPr>
                <w:sz w:val="17"/>
                <w:szCs w:val="17"/>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Adjustment of redeemable non-controlling</w:t>
            </w:r>
          </w:p>
        </w:tc>
        <w:tc>
          <w:tcPr>
            <w:tcW w:w="1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 at redemption at fair value</w:t>
            </w:r>
          </w:p>
        </w:tc>
        <w:tc>
          <w:tcPr>
            <w:tcW w:w="1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0"/>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2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(610)</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(394)</w:t>
            </w: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0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Change in unrealized gains or losses for the</w:t>
            </w:r>
          </w:p>
        </w:tc>
        <w:tc>
          <w:tcPr>
            <w:tcW w:w="1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period included in earnings</w:t>
            </w:r>
          </w:p>
        </w:tc>
        <w:tc>
          <w:tcPr>
            <w:tcW w:w="12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126</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126</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30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Change in unrealized gains or losses for the</w:t>
            </w:r>
          </w:p>
        </w:tc>
        <w:tc>
          <w:tcPr>
            <w:tcW w:w="12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period included in other comprehensive income</w:t>
            </w: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80" w:type="dxa"/>
            <w:vAlign w:val="bottom"/>
            <w:tcBorders>
              <w:bottom w:val="single" w:sz="8" w:color="auto"/>
            </w:tcBorders>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12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Fox option</w:t>
            </w: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interest at</w:t>
            </w:r>
          </w:p>
        </w:tc>
        <w:tc>
          <w:tcPr>
            <w:tcW w:w="0" w:type="dxa"/>
            <w:vAlign w:val="bottom"/>
          </w:tcPr>
          <w:p>
            <w:pPr>
              <w:spacing w:after="0"/>
              <w:rPr>
                <w:sz w:val="1"/>
                <w:szCs w:val="1"/>
                <w:color w:val="auto"/>
              </w:rPr>
            </w:pP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60" w:type="dxa"/>
            <w:vAlign w:val="bottom"/>
          </w:tcPr>
          <w:p>
            <w:pPr>
              <w:spacing w:after="0"/>
              <w:rPr>
                <w:sz w:val="17"/>
                <w:szCs w:val="17"/>
                <w:color w:val="auto"/>
              </w:rPr>
            </w:pPr>
          </w:p>
        </w:tc>
        <w:tc>
          <w:tcPr>
            <w:tcW w:w="1320" w:type="dxa"/>
            <w:vAlign w:val="bottom"/>
            <w:tcBorders>
              <w:right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1240" w:type="dxa"/>
            <w:vAlign w:val="bottom"/>
            <w:tcBorders>
              <w:bottom w:val="single" w:sz="8" w:color="CCEEFF"/>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(810)</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(822)</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(1,567)</w:t>
            </w: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gains or losses for the period:</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Included in earnings</w:t>
            </w:r>
          </w:p>
        </w:tc>
        <w:tc>
          <w:tcPr>
            <w:tcW w:w="12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bottom w:val="single" w:sz="8" w:color="CCEEFF"/>
              <w:right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30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Included in other comprehensive income (loss)</w:t>
            </w:r>
          </w:p>
        </w:tc>
        <w:tc>
          <w:tcPr>
            <w:tcW w:w="1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Attribution of net income and other comprehensive</w:t>
            </w: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w:t>
            </w:r>
          </w:p>
        </w:tc>
        <w:tc>
          <w:tcPr>
            <w:tcW w:w="12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 attributable to redeemable non-</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controlling interest</w:t>
            </w:r>
          </w:p>
        </w:tc>
        <w:tc>
          <w:tcPr>
            <w:tcW w:w="124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320" w:type="dxa"/>
            <w:vAlign w:val="bottom"/>
            <w:tcBorders>
              <w:right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comprehensive loss attributable to</w:t>
            </w: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redeemable non-controlling interest</w:t>
            </w:r>
          </w:p>
        </w:tc>
        <w:tc>
          <w:tcPr>
            <w:tcW w:w="1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06"/>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Acquisitions and settlements:</w:t>
            </w: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Acquisition of redeemable non-controlling</w:t>
            </w: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12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206"/>
        </w:trPr>
        <w:tc>
          <w:tcPr>
            <w:tcW w:w="3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Settlements</w:t>
            </w:r>
          </w:p>
        </w:tc>
        <w:tc>
          <w:tcPr>
            <w:tcW w:w="1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1,553</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3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Adjustment of redeemable non-controlling</w:t>
            </w:r>
          </w:p>
        </w:tc>
        <w:tc>
          <w:tcPr>
            <w:tcW w:w="1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at redemption at fair value</w:t>
            </w:r>
          </w:p>
        </w:tc>
        <w:tc>
          <w:tcPr>
            <w:tcW w:w="1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0" w:type="dxa"/>
            <w:vAlign w:val="bottom"/>
          </w:tcPr>
          <w:p>
            <w:pPr>
              <w:spacing w:after="0"/>
              <w:rPr>
                <w:sz w:val="1"/>
                <w:szCs w:val="1"/>
                <w:color w:val="auto"/>
              </w:rPr>
            </w:pPr>
          </w:p>
        </w:tc>
      </w:tr>
      <w:tr>
        <w:trPr>
          <w:trHeight w:val="199"/>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Balance as of September 30, 2025</w:t>
            </w:r>
          </w:p>
        </w:tc>
        <w:tc>
          <w:tcPr>
            <w:tcW w:w="12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(610)</w:t>
            </w: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(603)</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(394)</w:t>
            </w:r>
          </w:p>
        </w:tc>
        <w:tc>
          <w:tcPr>
            <w:tcW w:w="0" w:type="dxa"/>
            <w:vAlign w:val="bottom"/>
          </w:tcPr>
          <w:p>
            <w:pPr>
              <w:spacing w:after="0"/>
              <w:rPr>
                <w:sz w:val="1"/>
                <w:szCs w:val="1"/>
                <w:color w:val="auto"/>
              </w:rPr>
            </w:pPr>
          </w:p>
        </w:tc>
      </w:tr>
      <w:tr>
        <w:trPr>
          <w:trHeight w:val="23"/>
        </w:trPr>
        <w:tc>
          <w:tcPr>
            <w:tcW w:w="30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8"/>
        </w:trPr>
        <w:tc>
          <w:tcPr>
            <w:tcW w:w="30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Change in unrealized gains or losses for the</w:t>
            </w:r>
          </w:p>
        </w:tc>
        <w:tc>
          <w:tcPr>
            <w:tcW w:w="1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3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period included in earnings</w:t>
            </w:r>
          </w:p>
        </w:tc>
        <w:tc>
          <w:tcPr>
            <w:tcW w:w="12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250</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w:t>
            </w:r>
          </w:p>
        </w:tc>
        <w:tc>
          <w:tcPr>
            <w:tcW w:w="120" w:type="dxa"/>
            <w:vAlign w:val="bottom"/>
            <w:tcBorders>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300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Change in unrealized gains or losses for the</w:t>
            </w:r>
          </w:p>
        </w:tc>
        <w:tc>
          <w:tcPr>
            <w:tcW w:w="12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period included in other  comprehensive income</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0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40" w:type="dxa"/>
            <w:vAlign w:val="bottom"/>
            <w:tcBorders>
              <w:bottom w:val="single" w:sz="8" w:color="auto"/>
            </w:tcBorders>
          </w:tcPr>
          <w:p>
            <w:pPr>
              <w:jc w:val="right"/>
              <w:ind w:right="106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(50)</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right="7520" w:firstLine="8"/>
        <w:spacing w:after="0" w:line="378" w:lineRule="auto"/>
        <w:tabs>
          <w:tab w:leader="none" w:pos="2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Guarantees</w:t>
      </w:r>
    </w:p>
    <w:p>
      <w:pPr>
        <w:ind w:right="280"/>
        <w:spacing w:after="0" w:line="282" w:lineRule="auto"/>
        <w:rPr>
          <w:sz w:val="20"/>
          <w:szCs w:val="20"/>
          <w:color w:val="auto"/>
        </w:rPr>
      </w:pPr>
      <w:r>
        <w:rPr>
          <w:rFonts w:ascii="Times New Roman" w:cs="Times New Roman" w:eastAsia="Times New Roman" w:hAnsi="Times New Roman"/>
          <w:sz w:val="18"/>
          <w:szCs w:val="18"/>
          <w:color w:val="auto"/>
        </w:rPr>
        <w:t>The Group had uncommitted working capital overdraft facilities as of September 30, 2026 of $22 million (December 31, 2025: $22 million) with Allied Irish Banks p.l.c. These facilities are secured by a Letter of Guarantee from Flutter Entertainment plc.</w:t>
      </w:r>
    </w:p>
    <w:p>
      <w:pPr>
        <w:spacing w:after="0" w:line="5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Group has bank guarantees: (i) in favor of certain gaming regulatory authorities to guarantee the payment of player funds, player prizes, and certain taxes and fees due by a number of Group companies; and (ii) in respect of certain third-party rental and other property commitments, merchant facilities and third-party letter of credit facilities. The bank guarantees have various expected terms up to November 30, 2039; 21 of the bank guarantees are indefinite lived. The maximum amount of the guarantees as of September 30, 2026 was $620 million (December 31, 2025: $664 million). No claims had been made against the guarantees as of September 30, 2026 (December 31, 2025: nil). The guarantees are secured by counter indemnities from Flutter Entertainment plc and certain of its subsidiary companies. The value of cash deposits over which the guaranteeing banks hold security was $35 million as of September 30, 2026 (December 31, 2025: $39 million).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purchase obligations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Group is a party to several non-cancelable contracts with vendors where the Group is obligated to make future minimum payments under the terms of these contracts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Year Ending</w:t>
            </w:r>
          </w:p>
        </w:tc>
      </w:tr>
      <w:tr>
        <w:trPr>
          <w:trHeight w:val="259"/>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0"/>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From September 30, 2026 to December 31, 2026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6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r>
      <w:tr>
        <w:trPr>
          <w:trHeight w:val="27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63"/>
        </w:trPr>
        <w:tc>
          <w:tcPr>
            <w:tcW w:w="9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r>
      <w:tr>
        <w:trPr>
          <w:trHeight w:val="277"/>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63"/>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r>
      <w:tr>
        <w:trPr>
          <w:trHeight w:val="263"/>
        </w:trPr>
        <w:tc>
          <w:tcPr>
            <w:tcW w:w="93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4,998</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Contingencies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Group is involved, from time to time, in various litigation, administrative and other legal proceedings, including regulatory actions, incidental or related to its business. The Group establishes an accrued liability for legal claims and indemnification claims when the Group determines that a loss is both probable and the amount of the loss can be reasonably estimated. The estimates are based on all known facts at the time and our assessment of the ultimate outcome. As additional information becomes available, the Group reassesses the potential liability related to our pending claims and litigation, which may also revise our estimates. The amount of any loss ultimately incurred in relation to these matters may be higher or lower than the amounts accrued. Due to the unpredictable nature of litigation, there can be no assurance that our accruals will be sufficient to cover the extent of our potential exposure to losses. Any fees, expenses, fines, penalties, judgments, or settlements which might be incurred by us in connection with the various proceedings could affect our results of operations and financial condition.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i w:val="1"/>
          <w:iCs w:val="1"/>
          <w:color w:val="auto"/>
        </w:rPr>
        <w:t>ustrian and German player claims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previously reported, the Group has seen a number of player claims in Austria and Germany for reimbursement of historic gaming losses. The basis of these claims is rooted in the Group having provided remote services in Austria and Germany (outside of Schleswig-Holstein) from Maltese entities on the basis of multi-jurisdictional Maltese licenses, which the Group continues to believe is compliant in accordance with EU law. A significant number of German courts have ruled against the German players based on procedural factors. However, the Austrian Courts and German Courts generally consider the Group’s services non-compliant with their respective local laws. The Group strongly disputes the basis of these claims and judgments made by Austrian and German courts in awarding the player’s claims.</w:t>
      </w:r>
    </w:p>
    <w:p>
      <w:pPr>
        <w:spacing w:after="0" w:line="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September 30, 2026, the Group has recorded an amount of €16 million ($18 million) within loss contingencies forming part of other current liabilities in respect of the German player cases. It is reasonably possible that the actual losses could be in excess of the Group’s accrual. The Group is unable to estimate a reasonably possible loss or range of loss in excess of its accrual due to the complexities and uncertainty around the judicial process.</w:t>
      </w:r>
    </w:p>
    <w:p>
      <w:pPr>
        <w:spacing w:after="0" w:line="6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addition, there are further claims made against the Group in Austria amounting to €46 million ($52 million) as of September 30, 2026, the settlement of which is predicated on the merits of the case and whether the enforcement proceedings are successful in laying claim over the Group’s Maltese assets for settlement of these claims. The Group, based on advice from its legal counsel, believes such cross-border enforcement of judgments is in contravention to Maltese public policy and Regulation (EU) 1215/2012 and has not accrued any liability for these claims. The Group has filed countersuits before the Maltese Civil Court challenging the enforceability of these claims. The defendants have also filed garnishee orders with the Maltese Civil Court to attach the Group’s Maltese assets, which are then held pending the outcome of proceedings in Malta. Enforcement has already been declined by a Maltese Civil Court, with other cases pending. Should the Maltese Courts continue to decide in favor of the Group, the Group believes that there would be grounds for dismissal of all pending player claims instituted against the Group.</w:t>
      </w:r>
    </w:p>
    <w:p>
      <w:pPr>
        <w:spacing w:after="0" w:line="8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Furthermore, during the first quarter of 2026, a claim by Austrian players was issued in Belgium, which included a claim for $27 million. While the Group believes that it has strong arguments, at this time, the Group is unable to reasonably estimate the likelihood of the outcome of these claims due to the complexities and uncertainty around the judicial process.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Incident</w:t>
      </w:r>
    </w:p>
    <w:p>
      <w:pPr>
        <w:spacing w:after="0" w:line="1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previously reported, the Group received notice in 2023 that certain customer and employee data was involved in the global incident involving the MOVEit file transfer software, which began when the third-party provider administering the software announced that it had identified a previously unknown vulnerability in MOVEit. The Group had previously used MOVEit to share data and manage file transfers similar to many companies globally. Once the Group was informed of the incident, the Group promptly undertook responsive measures, including restricting access to the affected application, launching an internal investigation in partnership with outside independent cybersecurity forensic consultants and notifying the relevant regulators and law enforcement agencies, as well as our employees and customers, impacted by the incident. Three US customers filed class action suits for US customers after the incident and later consolidated these into a single case.</w:t>
      </w:r>
    </w:p>
    <w:p>
      <w:pPr>
        <w:spacing w:after="0" w:line="8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2026, the Group has recorded an immaterial provision (December 31, 2025: Nil) within loss contingencies forming part of other current liabilities, based on management’s best estimate of the expected settlement amount.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Code Class Action</w:t>
      </w:r>
    </w:p>
    <w:p>
      <w:pPr>
        <w:spacing w:after="0" w:line="1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January 2025, a class action was initiated on behalf of customers who placed losing bets on live sporting events using Sportsbet’s Fast Codes Service. The suit alleges that the Fast Codes Service did not comply with the Interactive Gambling Act (Cth) and consequently, that Sportsbet engaged in breach of contract, and / or misleading and deceptive conduct in offering it to customers. Sportsbet denies these allegations.</w:t>
      </w:r>
    </w:p>
    <w:p>
      <w:pPr>
        <w:spacing w:after="0" w:line="6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trial concluded in August 2026, and the matter is now before the court awaiting judgment. While the Group remains confident in its position, it has recognized a provision of $109 million (A$157.5 million) to facilitate a potential resolution of the matter. At this time, the Group cannot reasonably estimate any loss in excess of the amount provisioned or a range thereof.</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Goods and Services Tax (“GST”) rate applicable to operations in India</w:t>
      </w:r>
    </w:p>
    <w:p>
      <w:pPr>
        <w:spacing w:after="0" w:line="29"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 xml:space="preserve">As previously reported, Junglee and PokerStars India have been subject to investigations and notices from India’s Directorate General of Goods &amp; Services Tax Intelligence in relation to the historical characterization of real-money games of skill for Goods &amp; Services Tax (“GST”) purposes. While both entities ceased offering real-money gaming in India following the enactment of the Promotion and Regulation of Online Gaming Act in August 2025; the retrospective assessment relates to the period from GST implementation in 2017 through to 2023. Following the Supreme Court of India’s judgement in May 2026, final tax demands were issued against Junglee and PokerStars India in October 2026 in an amount of </w:t>
      </w:r>
      <w:r>
        <w:rPr>
          <w:rFonts w:ascii="Arial" w:cs="Arial" w:eastAsia="Arial" w:hAnsi="Arial"/>
          <w:sz w:val="18"/>
          <w:szCs w:val="18"/>
          <w:color w:val="auto"/>
        </w:rPr>
        <w:t>₹</w:t>
      </w:r>
      <w:r>
        <w:rPr>
          <w:rFonts w:ascii="Times New Roman" w:cs="Times New Roman" w:eastAsia="Times New Roman" w:hAnsi="Times New Roman"/>
          <w:sz w:val="18"/>
          <w:szCs w:val="18"/>
          <w:color w:val="auto"/>
        </w:rPr>
        <w:t>50.6 billion ($527 million) plus interest and penalties. As previously disclosed, the Group has recorded a provision forming part of non-current liabilities representing the expected realizable value of the assets of Junglee and PokerStars India. As of September 30, 2026, the amount recorded is $54 million. The Group is closely monitoring developments and will continue to evaluate its available options.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tax assessments related to fantasy sports operations</w:t>
      </w:r>
    </w:p>
    <w:p>
      <w:pPr>
        <w:spacing w:after="0" w:line="1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August 2020, the Office of the Chief Counsel of the U.S. Internal Revenue Service (the “IRS”) issued a Generic Legal Advice Memorandum expressing the view that fantasy sports entry fees are wagers. Consistent with this view, in June 2026, the IRS issued Notices of Proposed Adjustments (“NOPAs”) proposing additional tax assessments for tax years 2018 to 2021. The proposed adjustments primarily relate to the IRS’s assertion that the Group had withholding tax obligations with respect to certain fantasy sports winnings, together with related information reporting matters, including, the alleged failure to timely or accurately furnish Forms W-2G. While the subsequent tax years remain open to possible examination by the IRS, the IRS has not yet proposed any adjustments for those years.</w:t>
      </w:r>
    </w:p>
    <w:p>
      <w:pPr>
        <w:spacing w:after="0" w:line="7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The proposed adjustments in connection with the NOPAs total approximately $181 million, excluding interest. The Group disagrees with the IRS’s position and intends to pursue all available administrative and judicial remedies. In September 2026, the Group timely filed a protest to the proposed adjustments.</w:t>
      </w:r>
    </w:p>
    <w:p>
      <w:pPr>
        <w:spacing w:after="0" w:line="3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As of the date of issue of these Unaudited Condensed Consolidated Financial Statements, the Group has determined that it is not probable that the IRS’s position will ultimately be sustained, and as a result, no provision has been recorded. However, there can be no assurance as to the outcome of these or related examinations, any subsequent challenge, or the impact of adverse judicial rulings in other cases. In addition, if Group is ultimately unsuccessful in its administrative challenge of the NOPAs, it may be required to make a protective payment to pursue further judicial remedies; any such payment would not constitute an admission of liability and would be recorded as a tax assessment deposit within Other non-current assets in the Unaudited Condensed Consolidated Balance Sheets.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FLUTTER ENTERTAINMENT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Amendment</w:t>
      </w:r>
    </w:p>
    <w:p>
      <w:pPr>
        <w:spacing w:after="0" w:line="1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October 30, 2026 the Company and certain of its subsidiaries entered into the “First Amendment and Restatement Agreement” to the Term Loan A, Term Loan B and Revolving Credit Facility Agreement dated as of November 24, 2023 (the “Credit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Amendment and Restatement Agreement, among other things:</w:t>
      </w:r>
    </w:p>
    <w:p>
      <w:pPr>
        <w:spacing w:after="0" w:line="117"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extends the maturity date of the Group’s term A facilities and the revolving credit facility to May 3, 2032;</w:t>
      </w:r>
    </w:p>
    <w:p>
      <w:pPr>
        <w:spacing w:after="0" w:line="117" w:lineRule="exact"/>
        <w:rPr>
          <w:rFonts w:ascii="Times New Roman" w:cs="Times New Roman" w:eastAsia="Times New Roman" w:hAnsi="Times New Roman"/>
          <w:sz w:val="18"/>
          <w:szCs w:val="18"/>
          <w:color w:val="auto"/>
        </w:rPr>
      </w:pPr>
    </w:p>
    <w:p>
      <w:pPr>
        <w:ind w:right="80" w:firstLine="8"/>
        <w:spacing w:after="0" w:line="282" w:lineRule="auto"/>
        <w:tabs>
          <w:tab w:leader="none" w:pos="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the commitments under the revolving credit facility to $1.86 billion and redenominates the base currency of the revolving credit facility from Sterling to U.S. dollars;</w:t>
      </w:r>
    </w:p>
    <w:p>
      <w:pPr>
        <w:spacing w:after="0" w:line="53" w:lineRule="exact"/>
        <w:rPr>
          <w:rFonts w:ascii="Times New Roman" w:cs="Times New Roman" w:eastAsia="Times New Roman" w:hAnsi="Times New Roman"/>
          <w:sz w:val="18"/>
          <w:szCs w:val="18"/>
          <w:color w:val="auto"/>
        </w:rPr>
      </w:pPr>
    </w:p>
    <w:p>
      <w:pPr>
        <w:ind w:right="420" w:firstLine="8"/>
        <w:spacing w:after="0" w:line="266" w:lineRule="auto"/>
        <w:tabs>
          <w:tab w:leader="none" w:pos="6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redenominates the term A facilities solely into U.S. dollars and Euros, such that, following the effective date of the First Amendment and Restatement Agreement, an aggregate principal amount of €382 million of term A2 loans and $1,374 million of term A3 loans are outstanding and no Sterling-denominated term A loans remain outstanding; and</w:t>
      </w:r>
    </w:p>
    <w:p>
      <w:pPr>
        <w:spacing w:after="0" w:line="6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replaces the net total leverage financial covenant with a net first lien leverage financial covenant and the financial covenant level increased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5.70:1.00.</w:t>
      </w:r>
    </w:p>
    <w:p>
      <w:pPr>
        <w:spacing w:after="0" w:line="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After giving effect to the First Amendment and Restatement Agreement, the term A loans and revolving credit facility loans will bear interest at the applicable screen rate (Term SOFR, EURIBOR or SONIA, as applicable) plus a margin ranging from 1.40% to 2.00% per annum determined by reference to the Company’s corporate ratings from Moody’s, S&amp;P and Fitch.</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UKI Restructuring</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October 20, 2026, the Group committed to a restructuring plan affecting the Group’s UKI reporting unit (the “Restructuring Plan”). The Restructuring Plan is designed to mitigate the impact of increases in UK gaming taxation, in accordance with the Group’s previously announced UK gaming tax mitigation plans. The Restructuring Plan is expected to entail a reduction in headcount of up to 1,400 employees.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 currently estimates that it will incur aggregate pre-tax charges of approximately $80 million to $90 million in connection with the Restructuring Plan, consisting primarily of cash expenditure related to employee severance, benefits, and related costs. The Group also expects to record certain non-cash charges in respect of stock-based compensation; however, such charges cannot be reasonably estimated at this time.</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the financial condition and results of operations of Flutter Entertainment plc and its consolidated subsidiaries in conjunction with the Unaudited Condensed Consolidated Financial Statements and related notes included elsewhere in this Quarterly Report on Form 10-Q.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Part I, “Item 1A. Risk Factors” in our Annual Report on Form 10-K for the fiscal year ended December 31, 2025, as filed with the SEC on February 26, 2026 (the “2025 Annual Report”) and Part II, “Item 1A Risk Factors” in this Quarterly Report on Form 10-Q.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Flutter is the world’s leading online sports betting and iGaming operator based on revenue. Our ambition is to change our industry for the better and deliver long-term growth while also achieving a positive, sustainable future for all our stakeholders. We are well-placed to do so through the global competitive advantages of the </w:t>
      </w:r>
      <w:r>
        <w:rPr>
          <w:rFonts w:ascii="Times New Roman" w:cs="Times New Roman" w:eastAsia="Times New Roman" w:hAnsi="Times New Roman"/>
          <w:sz w:val="18"/>
          <w:szCs w:val="18"/>
          <w:i w:val="1"/>
          <w:iCs w:val="1"/>
          <w:color w:val="auto"/>
        </w:rPr>
        <w:t>Flutter Edge</w:t>
      </w:r>
      <w:r>
        <w:rPr>
          <w:rFonts w:ascii="Times New Roman" w:cs="Times New Roman" w:eastAsia="Times New Roman" w:hAnsi="Times New Roman"/>
          <w:sz w:val="18"/>
          <w:szCs w:val="18"/>
          <w:color w:val="auto"/>
        </w:rPr>
        <w:t xml:space="preserve">, which provides our brands with access to group-wide benefits to stay ahead of the competition, while maintaining a clear vision for sustainability through our </w:t>
      </w:r>
      <w:r>
        <w:rPr>
          <w:rFonts w:ascii="Times New Roman" w:cs="Times New Roman" w:eastAsia="Times New Roman" w:hAnsi="Times New Roman"/>
          <w:sz w:val="18"/>
          <w:szCs w:val="18"/>
          <w:i w:val="1"/>
          <w:iCs w:val="1"/>
          <w:color w:val="auto"/>
        </w:rPr>
        <w:t>Positive Impact 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Geographies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principal products include sportsbook, iGaming and other products, such as exchange betting, pari-mutuel wagering, daily fantasy sports (“DFS”) and prediction markets product offerings in the U.S. In each market that we operate in, we typically offer sports betting, iGaming, or both, depending on the regulatory conditions of that market.</w:t>
      </w:r>
    </w:p>
    <w:p>
      <w:pPr>
        <w:spacing w:after="0" w:line="6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We operate a divisional management and operating structure across our geographic markets. Our segments have an empowered management team responsible for maintaining the momentum and growth in their respective geographic markets.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reports its Unaudited Condensed Consolidated Financial Statements based on two reportable segments:</w:t>
      </w:r>
    </w:p>
    <w:p>
      <w:pPr>
        <w:spacing w:after="0" w:line="117"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w:t>
      </w:r>
    </w:p>
    <w:p>
      <w:pPr>
        <w:spacing w:after="0" w:line="11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this Quarterly Report in accordance with accounting principles generally accepted in the U.S. (“U.S. GAAP” or “GAAP”); however, management believes that certain non-GAAP financial measures provide investors with useful information to supplement our financial operating performance in accordance with U.S. GAAP. We believe Adjusted EBITDA and Adjusted EBITDA Margin, both on a Group-wide basis, provide visibility to the performance of our business by excluding the impact of certain income or gains and expenses or losses. Additionally, we believe these metrics are widely used by investors, securities analysts, ratings agencies and others in our industry in evaluating performance.</w:t>
      </w:r>
    </w:p>
    <w:p>
      <w:pPr>
        <w:spacing w:after="0" w:line="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Adjusted EBITDA and Adjusted EBITDA Margin are not liquidity measures and should not be considered as discretionary cash available to us to reinvest in the growth of our business, or to distribute to shareholders, or as a measure of cash that will be available to us to meet our obligations.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non-GAAP financial measures may not be comparable to similarly-titled measures used by other companies, have limitations as analytical tools and should not be considered in isolation. Additionally, we do not consider our non-GAAP financial measures as superior to, or a substitute for, the equivalent measures calculated and presented in accordance with U.S. GAAP.</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evaluate our business properly and prudently, we encourage you to review the Unaudited Condensed Consolidated Financial Statements included elsewhere in this Quarterly Report, and not rely on a single financial measure to evaluate our business. We also strongly urge you to review the reconciliations between our most directly comparable financial measures calculated in accordance with U.S. GAAP measures and our non-GAAP measures set forth in “Supplemental Disclosure of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Metrics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Average Monthly Players (“AMPs”) is defined as the average over the applicable reporting period of the total number of players who have had a bet settled and/or contributed to the rake or tournament fees during the month. This measure does not include individuals who have only used new player or player retention incentives, and this measure is for online players only and excludes retail player activity. We present AMPs for each of our product categories, for our segments and for the consolidated Group as a whole as we believe this provides useful information for assessing underlying trends. At the product category level, a player is generally counted as one AMP for each product category they use. In circumstances where a player uses multiple product categories within one brand, we are generally able to identify that it is the same player who is using multiple product categories and therefore count this player as only one AMP at each of the segment and Group levels while also counting this player as one AMP for each separate product category that the player is using.</w:t>
      </w:r>
    </w:p>
    <w:p>
      <w:pPr>
        <w:spacing w:after="0" w:line="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Notwithstanding the methodology described in the immediately preceding paragraph, our AMPs information is based on player data collected by each of our brands, which generally each employ their own unique data platform, and reflects a level of duplication that arises from individuals who use multiple brands. More specifically, we are generally unable to identify when the same individual player is using multiple brands and therefore count this player multiple times. In addition to the duplication that arises when the same individual player is using multiple brands, we do not eliminate from the AMPs information presented for the Group as a whole duplication of individual players who use our product offerings within our segments during the reported period. For example, a player who uses Betfair Casino in the iGaming product category within the U.K. and Sisal sports in the sportsbook product category in Italy would appropriately count as one AMP for each of the iGaming product category and the sportsbook product category. However, this player would count as two AMPs (rather than one AMP) for the International segment and the Group as a whole.</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are unable to quantify the level of duplication that arises as a result of these circumstances, but do not believe it to be material and note that players must demonstrate residency within the geography covered by a segment to sign up for an account, and accordingly such duplication could only arise in the circumstance of an individual player having one or more residences in each of our segments. For a further description of the duplication that can arise in the way we count AMPs, see Part II, “Item 7. Management’s Discussion and Analysis of Financial Condition and Results of Operations” in the 2025 Annual Report. We do not believe that the existence of player duplication undercuts the meaningfulness of the AMPs data that we present for assessing underlying trends in our business, and our management uses this AMPs data for this purpose.</w:t>
      </w:r>
    </w:p>
    <w:p>
      <w:pPr>
        <w:spacing w:after="0" w:line="7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Stakes represent the total amount our players wagered in sportsbook and is a key volume indicator for our sportsbook products. The variability of sporting outcomes can result in an impact to sportsbook revenue that may obscure underlying trends in the sportsbook business relating to growth in amounts wagered and, accordingly, staking data can provide additional useful information. We do not utilize staking information to track performance of our iGaming products. Because our iGaming business is not subject to the same variability in outcomes, management is able to assess trends in our iGaming business by analyzing AMPs and revenue changes, without the need to collect or analyze stakes and believes that collecting and analyzing stakes data in our iGaming business would not provide meaningful incremental information regarding trends in such business that is not already provided by collecting and analyzing our iGaming AMPs and revenue data.</w:t>
      </w:r>
    </w:p>
    <w:p>
      <w:pPr>
        <w:spacing w:after="0" w:line="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Sportsbook net revenue margin is defined as sportsbook revenue as a percentage of the amount staked. This is a key indicator for measuring the combined impact of our overall margin on sportsbook products and levels of bonusing.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acquisitions that we have completed since the beginning of fiscal 2025 are noted below:</w:t>
      </w:r>
    </w:p>
    <w:p>
      <w:pPr>
        <w:spacing w:after="0" w:line="117" w:lineRule="exact"/>
        <w:rPr>
          <w:sz w:val="20"/>
          <w:szCs w:val="20"/>
          <w:color w:val="auto"/>
        </w:rPr>
      </w:pPr>
    </w:p>
    <w:p>
      <w:pPr>
        <w:ind w:left="660" w:right="4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 redeemable non-controlling interest in FanDuel Group Parent LLC (“FanDuel”) held by Boyd Interactive Gaming Holdings L.L.C. (“Boyd”) for a consideration of $1,553 million. The acquisition brings the Group’s holding in FanDuel to 100% (subject to the Fox Option).</w:t>
      </w:r>
    </w:p>
    <w:p>
      <w:pPr>
        <w:spacing w:after="0" w:line="67" w:lineRule="exact"/>
        <w:rPr>
          <w:rFonts w:ascii="Times New Roman" w:cs="Times New Roman" w:eastAsia="Times New Roman" w:hAnsi="Times New Roman"/>
          <w:sz w:val="18"/>
          <w:szCs w:val="18"/>
          <w:color w:val="auto"/>
        </w:rPr>
      </w:pPr>
    </w:p>
    <w:p>
      <w:pPr>
        <w:ind w:left="660" w:right="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56% interest in NSX Group (“NSX”), a leading Brazilian operator of the Betnacional brand for a total consideration of BRL 3,799 million ($674 million), with a redemption mechanism in the form of call and put options which allows us to acquire the remaining interest in NSX in year five and year ten following the acquisition date.</w:t>
      </w:r>
    </w:p>
    <w:p>
      <w:pPr>
        <w:spacing w:after="0" w:line="82" w:lineRule="exact"/>
        <w:rPr>
          <w:rFonts w:ascii="Times New Roman" w:cs="Times New Roman" w:eastAsia="Times New Roman" w:hAnsi="Times New Roman"/>
          <w:sz w:val="18"/>
          <w:szCs w:val="18"/>
          <w:color w:val="auto"/>
        </w:rPr>
      </w:pPr>
    </w:p>
    <w:p>
      <w:pPr>
        <w:ind w:left="660" w:right="520" w:hanging="328"/>
        <w:spacing w:after="0" w:line="26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outstanding shares of Pluto (Italia) S.p.A, the holding company that owns Snaitech S.p.A (“Snai”), one of Italy’s leading omni-channel operators in the sports betting and iGaming market, for consideration of approximately $2.6 billion (€2.3 billion).</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8"/>
          <w:szCs w:val="18"/>
          <w:color w:val="auto"/>
        </w:rPr>
        <w:t>In December 2025, we launched FanDuel Predicts in partnership with CME Group (“CME”) in five states. FanDuel Predicts was expanded nationwide during the first quarter of 2026 across financial, economic and commodities contracts, with sports available for trading in 18 non-sportsbook states including California, Texas and Florida. FanDuel Predicts non-sports contract are available in all 50 states. We provide eligible customers with a mobile platform to trade prediction markets contracts. In June 2026, we further expanded our product offering through a partnership with Crypto.com’s CFTC-regulated exchange and clearinghouse, OG Prediction Markets, adding new sports, entertainment and combination event contracts to complement our existing offering.</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intend to make similar investments in the future in attractive, fast-growing markets where growing our business organically is typically slower or more difficult to achieve. Acquisitions can involve significant investments to integrate the business of the acquired company with our business, and such costs may vary significantly from period to period. Accordingly, the impact of significant acquisitions may result in our financial information for such periods being less comparable to prior financial periods, or not being comparable at all, to prior financial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Environment</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performance of our reportable segments can be materially affected by the following industry trends and regulatory changes in the global online sports betting and iGaming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our U.S. segment is the largest growth opportunity for the Group. Since 2018 when the key sports betting legislation was overturned by the U.S. Supreme Court, a number of states have moved to legalize and regulate online sports betting and online casino gambling at the state level. As of September 30, 2026, FanDuel online sportsbook was available in 26 states or territories, our FanDuel online casino was available in five states, our FanDuel paid DFS offering was available in 43 states, our FanDuel or TVG online horse racing wagering product was available in 31 states, our FanDuel Predicts product for financial, economic and commodities contracts and our FanDuel free-to-play products were available in all 50 states.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continue to see a limited impact from prediction markets on the betting activity of our existing sportsbook customers. We believe this is attributable to the fundamental differences in product propositions offered by sportsbooks. We are, however, beginning to see an impact on sportsbook customer acquisition costs from the substantial market spend from prediction market operators. Meanwhile, we continue to view prediction markets as a very attractive, incremental opportunity to acquire customers ahead of sports betting regulation in new states. FanDuel Predicts was expanded nationwide during the first quarter across financial, economic and commodities contracts, with sports available for trading in 18 non-sportsbook states including California, Texas and Florida. We are closely monitoring the implications of the rapid growth in prediction markets on the broader online sports-betting markets as well as the regulatory developments around prediction market products, including courts in several states allowing restrictions on sports events contracts to remain in place or take effect. A petition is pending before the U.S. Supreme Court seeking resolution of whether states may regulate sports events contracts offered on CFTC-regulated exchanges, with a decision on whether to hear the case expected by early 2027.</w:t>
      </w:r>
    </w:p>
    <w:p>
      <w:pPr>
        <w:spacing w:after="0" w:line="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period, several states increased sports betting tax rates, including North Carolina, where the sports betting tax rate increased from 18% to 23%, and Colorado, where free-bet deductions were removed from the sports betting tax base, both effective in the quarter. Other states have also proposed further tax rate increases, which may adversely impact our results of operations in the affected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International segment operates in approximately 100 different countries in both locally regulated and unregulated markets. Significant regulatory developments during the quarter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UK and Ireland</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October 2024, the Irish government enacted the Gambling Act 2024, which introduced major reform of gambling laws in Ireland, including the creation of the Gambling Regulatory Authority of Ireland (“GRAI”) with the power to issue licenses and enforce regulation. Betting licenses commenced on July 1, 2026 and, applications for gaming licenses are due to be opened by the GRAI during the first quarter of 2027.</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November 2025, the UK government announced significant increases to remote gambling duties: an increase in remote gaming duty from 21% to 40% effective April 2026; and, an increase in betting duty (excluding horseracing and land-based) from 15% to 25% effective April 2027. In response to these tax increases, in October 2026, Flutter announced plans to restructure its UKI operations as part of its first order mitigation plans. The restructuring is expected to result in a workforce reduction of approximately 1,400 employees across UKI and UKI staff at certain dedicated hubs.</w:t>
      </w:r>
    </w:p>
    <w:p>
      <w:pPr>
        <w:spacing w:after="0" w:line="7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 July 2026, the Gambling Commission of Great Britain (“UKGC”) announced the introduction of financial risk assessments to be implemented using a phased approach, with exact timings to be confirmed. The impact of these financial risk assessments on our business is not yet clear and will depend on how they are implemented.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Italy</w:t>
      </w:r>
    </w:p>
    <w:p>
      <w:pPr>
        <w:spacing w:after="0" w:line="119"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Italy is the largest regulated gambling market in the European Union. In recent years, the regulatory framework in Italy has tightened with a ban on online advertising issued in 2019. In August 2023, the Italian government approved the terms of a new legislative decree to reorganize the entire gambling sector with the primary objective of improving player protection, combating illegal gambling and increasing tax revenues through a new licensing framework. In September 2025, Flutter obtained five licenses for all the brands we operate in Italy, with the new concessions becoming effective on November 13, 2025 and remaining valid for nine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Australia</w:t>
      </w:r>
    </w:p>
    <w:p>
      <w:pPr>
        <w:spacing w:after="0" w:line="11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Australian betting and gaming market is a highly regulated market including for online betting. The market continues to experience a softer racing market, which is expected to continue in the near term, while the sports segment of the market has shown continued growth.</w:t>
      </w:r>
    </w:p>
    <w:p>
      <w:pPr>
        <w:spacing w:after="0" w:line="54"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The regulatory environment in Australia has also evolved significantly in recent years, especially after the introduction of point of consumption tax in 2019. Queensland, New South Wales, the Australian Capital Territory and Victoria have since increased point of consumption tax rates. We believe that the higher tax environment underlines the importance of scale in the Australian market and favors large operators.</w:t>
      </w:r>
    </w:p>
    <w:p>
      <w:pPr>
        <w:spacing w:after="0" w:line="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In April 2026, the Australian government announced a package of online gambling reforms which enter into force on January 1, 2027. The reforms package includes substantial advertising changes across broadcast, digital and social media platforms, payment blocking for illegal offshore wagering, reforms to BetStop (the National Self-Exclusion Register), and consumer protection measures, including a ban on the payment of commissions, reforms to promotions and at-risk customer monitoring.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Brazil</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On January 1, 2025, Brazil launched its regulated market for online sports betting and casino. Our Betfair and Betnacional brands are licensed by the Ministry of Finance Secretariat of Betting and Prizes (Secretaria de Prêmios e Apostas, “SPA”), each with an individual 5-year renewable license valid until December 31, 2029, enabling us to offer approved online sports betting and casino products in the entire Brazilian national territory.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in 2026, there has been a rapid increase in anti-gambling legislative and regulatory activity in Brazil, including, in January 2026, a gradual tax increase on gross gaming revenue to 13% in 2026, 14% in 2027 and 15% in 2028, and the introduction of socio-economic measures, including a self-exclusion register for customers and the prohibition of recipients of certain welfare benefits and participants of debt finance schemes.</w:t>
      </w:r>
    </w:p>
    <w:p>
      <w:pPr>
        <w:spacing w:after="0" w:line="68"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This trend accelerated in the run-up to Brazil's presidential election in October 2026, culminating in a unilateral executive order provisionally banning sports betting and iGaming operations in Brazil announced on September 25, 2026. While the executive measure requires Congressional approval or amendment within 120 days to remain in effect, it had immediate effect, subject to certain wind-down provisions with full site closure from October 5, 2026. Flutter ceased operating sports betting and iGaming in Brazil on September 26, 2026 and, together with the wider industry, is pursuing available avenues to challenge the ban, including legal challenges, while continuing to engage with the Brazilian authorities. In the short term, we have paused all discretionary and uncommitted spend. To ensure that we have an agile operating model ready for when the future regulatory framework becomes clearer, we have restructured our business to focus on a single brand commercial strategy with Betnacional, resulting in the closure of Betfair Brazil.</w:t>
      </w:r>
    </w:p>
    <w:p>
      <w:pPr>
        <w:spacing w:after="0" w:line="8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Additionally, on September 28, 2026, the Brazilian federal government initiated a civil class action against 17 betting companies, including Betnacional and Betfair, alleging liability for gambling-related harm. The matter is currently in preliminary stages and the scope and potential liability to Flutter cannot currently be determined.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Separately, in August 2026, Brazil’s Federal Public Prosecutor’s Office and Federal Revenue Service initiated an investigation into NSX for alleged tax evasion and money laundering relating to its use of an offshore corporate structure for a period largely prior to acquisition by Flutter and the launch of Brazil’s regulated betting market. In a related but separate proceeding, Brazil’s Revenue Service initiated an investigation and requested documents relating to potential back taxes claims against NSX. As of the date of this filing, it is not yet possible to ascertain the scope or potential liability to NSX, if any. It appears that Brazilian authorities have initiated separate investigations against other licensed betting operators in Brazil, although it is not possible to confirm whether these matters are of a similar nature or scope to the NSX investigation.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and Financial Metrics for the Group</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compared to three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AMPs for the Group, by total Group and by product category for the interim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AMPs (Amounts in thousands)</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Group AMPs </w:t>
            </w:r>
            <w:r>
              <w:rPr>
                <w:rFonts w:ascii="Times New Roman" w:cs="Times New Roman" w:eastAsia="Times New Roman" w:hAnsi="Times New Roman"/>
                <w:sz w:val="23"/>
                <w:szCs w:val="23"/>
                <w:b w:val="1"/>
                <w:bCs w:val="1"/>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14,133</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Group AMPs by Product Category </w:t>
            </w:r>
            <w:r>
              <w:rPr>
                <w:rFonts w:ascii="Times New Roman" w:cs="Times New Roman" w:eastAsia="Times New Roman" w:hAnsi="Times New Roman"/>
                <w:sz w:val="23"/>
                <w:szCs w:val="23"/>
                <w:b w:val="1"/>
                <w:bCs w:val="1"/>
                <w:color w:val="auto"/>
                <w:vertAlign w:val="superscript"/>
              </w:rPr>
              <w:t>1</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Sportsbook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8,073</w:t>
            </w:r>
          </w:p>
        </w:tc>
      </w:tr>
      <w:tr>
        <w:trPr>
          <w:trHeight w:val="26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iGaming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r>
      <w:tr>
        <w:trPr>
          <w:trHeight w:val="277"/>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r>
    </w:tbl>
    <w:p>
      <w:pPr>
        <w:spacing w:after="0" w:line="288" w:lineRule="exact"/>
        <w:rPr>
          <w:sz w:val="20"/>
          <w:szCs w:val="20"/>
          <w:color w:val="auto"/>
        </w:rPr>
      </w:pPr>
    </w:p>
    <w:p>
      <w:pPr>
        <w:ind w:left="440" w:right="40" w:hanging="432"/>
        <w:spacing w:after="0" w:line="266" w:lineRule="auto"/>
        <w:tabs>
          <w:tab w:leader="none" w:pos="431"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circumstances where a player uses multiple product categories within one brand, we are generally able to identify that it is the same player who is using multiple product categories and therefore count this player as only one AMP at the Group level while also counting this player as one AMP for each separate product category that the player is using. As a result, the sum of the AMPs presented at the product category level presented above is greater than the total AMPs presented at the Group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financial results for the periods indicated and is derived from our Unaudited Condensed Consolidated Financial Statements for the interim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 millions, except percentages)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3,794</w:t>
            </w:r>
          </w:p>
        </w:tc>
      </w:tr>
      <w:tr>
        <w:trPr>
          <w:trHeight w:val="263"/>
        </w:trPr>
        <w:tc>
          <w:tcPr>
            <w:tcW w:w="7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(2,356)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(2,168)</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1,518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1,626</w:t>
            </w:r>
          </w:p>
        </w:tc>
      </w:tr>
      <w:tr>
        <w:trPr>
          <w:trHeight w:val="26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research and development expenses</w:t>
            </w:r>
          </w:p>
        </w:tc>
        <w:tc>
          <w:tcPr>
            <w:tcW w:w="200" w:type="dxa"/>
            <w:vAlign w:val="bottom"/>
          </w:tcPr>
          <w:p>
            <w:pPr>
              <w:spacing w:after="0"/>
              <w:rPr>
                <w:sz w:val="22"/>
                <w:szCs w:val="22"/>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(275)</w:t>
            </w:r>
          </w:p>
        </w:tc>
      </w:tr>
      <w:tr>
        <w:trPr>
          <w:trHeight w:val="277"/>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(1,168)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(966)</w:t>
            </w:r>
          </w:p>
        </w:tc>
      </w:tr>
      <w:tr>
        <w:trPr>
          <w:trHeight w:val="26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0" w:type="dxa"/>
            <w:vAlign w:val="bottom"/>
          </w:tcPr>
          <w:p>
            <w:pPr>
              <w:spacing w:after="0"/>
              <w:rPr>
                <w:sz w:val="22"/>
                <w:szCs w:val="22"/>
                <w:color w:val="auto"/>
              </w:rPr>
            </w:pP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(702)</w:t>
            </w:r>
          </w:p>
        </w:tc>
      </w:tr>
      <w:tr>
        <w:trPr>
          <w:trHeight w:val="277"/>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(517)</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(1,191)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(834)</w:t>
            </w:r>
          </w:p>
        </w:tc>
      </w:tr>
      <w:tr>
        <w:trPr>
          <w:trHeight w:val="27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r>
      <w:tr>
        <w:trPr>
          <w:trHeight w:val="263"/>
        </w:trPr>
        <w:tc>
          <w:tcPr>
            <w:tcW w:w="7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(152)</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(1,243)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(834)</w:t>
            </w:r>
          </w:p>
        </w:tc>
      </w:tr>
      <w:tr>
        <w:trPr>
          <w:trHeight w:val="27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r>
      <w:tr>
        <w:trPr>
          <w:trHeight w:val="26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(1,148)</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(789)</w:t>
            </w:r>
          </w:p>
        </w:tc>
      </w:tr>
      <w:tr>
        <w:trPr>
          <w:trHeight w:val="26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Net loss margin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6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478</w:t>
            </w:r>
          </w:p>
        </w:tc>
      </w:tr>
      <w:tr>
        <w:trPr>
          <w:trHeight w:val="264"/>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3"/>
                <w:szCs w:val="23"/>
                <w:color w:val="auto"/>
                <w:vertAlign w:val="superscript"/>
              </w:rPr>
              <w:t>2</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r>
    </w:tbl>
    <w:p>
      <w:pPr>
        <w:spacing w:after="0" w:line="288"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margin is net loss divided by revenue.</w:t>
      </w:r>
    </w:p>
    <w:p>
      <w:pPr>
        <w:spacing w:after="0" w:line="17" w:lineRule="exact"/>
        <w:rPr>
          <w:rFonts w:ascii="Times New Roman" w:cs="Times New Roman" w:eastAsia="Times New Roman" w:hAnsi="Times New Roman"/>
          <w:sz w:val="14"/>
          <w:szCs w:val="14"/>
          <w:color w:val="auto"/>
        </w:rPr>
      </w:pPr>
    </w:p>
    <w:p>
      <w:pPr>
        <w:ind w:left="660" w:right="120" w:hanging="652"/>
        <w:spacing w:after="0" w:line="278" w:lineRule="auto"/>
        <w:tabs>
          <w:tab w:leader="none" w:pos="6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and Adjusted EBITDA margin are non-GAAP financial measures. See “Supplemental Disclosure of Non-GAAP Measures” for additional information about these measures and reconciliations to the most directly comparable financial measures calculated in accordance with U.S. GAAP.</w:t>
      </w:r>
    </w:p>
    <w:p>
      <w:pPr>
        <w:spacing w:after="0" w:line="18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Revenue increased by 2%, to $3,874 million for the three months ended September 30, 2026, from $3,794 million for the three months ended September 30, 2025. AMPs decreased 3% primarily due to the cessation of operations in India in August 2025. U.S. segment revenue increased 6%, driven by increases of 4% in sportsbook revenue and 8% in iGaming revenue. International segment revenue was largely flat, with sportsbook revenue decreasing by 2% primarily reflecting the impact of adverse sports results in UKI and SEA, partially offset by a 1% increase in iGaming revenue.</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 of sales increased 9% to $2,356 million for the three months ended September 30, 2026, from $2,168 million for the three months ended September 30, 2025. In the U.S. segment, cost of sales as a percentage of revenue increased by 190 basis points, from 60.2% for the three months ended September 30, 2025 to 62.1% for the three months ended September 30, 2026, primarily due to higher payment processing costs. In the International segment, cost of sales as a percentage of revenue increased by 490 basis points, from 48.1% for the three months ended September 30, 2025 to 53.0% for the three months ended September 30, 2026, primarily reflecting the increase in UK remote gaming duty.</w:t>
      </w:r>
    </w:p>
    <w:p>
      <w:pPr>
        <w:spacing w:after="0" w:line="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Technology, research and development expenses increased by 27%, to $350 million for the three months ended September 30, 2026 from $275 million for the three months ended September 30, 2025 primarily driven by (i) an impairment of $53 million in relation to the Brazil business recorded in 2026, compared to a $16 million impairment of Junglee assets recorded in 2025 and (ii) an increase of $37 million relating to restructuring and integration expenses, primarily due to our PokerStars transformation program, which were partially offset by a decrease in depreciation and amortization expense and share-based payment. Technology, research and development expenses increased $15 million in our International segment due to platform support costs associated with the PokerStars transformation program, and AI development.</w:t>
      </w:r>
    </w:p>
    <w:p>
      <w:pPr>
        <w:spacing w:after="0" w:line="7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Sales and marketing expenses increased by 21%, to $1,168 million for the three months ended September 30, 2026, from $966 million for the three months ended September 30, 2025, primarily driven by an impairment of $230 million in relation to the Brazil business recorded in 2026, compared to a $16 million impairment of Junglee assets recorded in 2025. In our U.S. segment, sales and marketing expenses increased by 16% or 210 basis points as a percentage of revenue, reflecting investments in FanDuel Predicts, FIFA World Cup and our launch in Alberta. In our International segment, sales and marketing expenses decreased by 10% or 160 basis points as a percentage of revenue, primarily due to lower spend in Brazil in response to the challenging trading environment.</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7%, to $650 million for the three months ended September 30, 2026, from $702 million for the three months ended September 30, 2025, driven by a $204 million decrease primarily related to revised market access terms recognized in 2025 in connection with the Boyd transaction, partially offset by (i) $112 million in relation to legal loss contingencies and (ii) a $41 million impairment in relation to the Brazil business.</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Goodwill impairment increased by $24 million. In 2026, goodwill impairment of $541 million relates to the Brazil business due to the previously disclosed challenging trading environment and cessation of operations in Brazil in September 2026, compared to $517 million of impairment of Junglee goodwill driven by the cessation of operations in India in August 2025. See Note 3. “Segments and Disaggregation of Revenue” within the Unaudited Condensed Consolidated Financial Statements for additional information.</w:t>
      </w:r>
    </w:p>
    <w:p>
      <w:pPr>
        <w:spacing w:after="0" w:line="7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Operating loss increased by $357 million, to $1,191 million for the three months ended September 30, 2026, from $834 million for the three months ended September 30, 2025, as a result of the factors above.</w:t>
      </w:r>
    </w:p>
    <w:p>
      <w:pPr>
        <w:spacing w:after="0" w:line="54"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Other income, net decreased by $45 million, to $107 million for the three months ended September 30, 2026, from $152 million for the three months ended September 30, 2025, primarily due to (i) a $40 million decrease in foreign exchange results from a gain of $27 million for the three months ended September 30, 2025 to a loss of $13 million for the three months ended September 30, 2026, and (ii)a $15 million decrease in the fair value of derivative instruments, from a $11 million gain for the three months ended September 30, 2025 to a loss of $4 million for the three months ended September 30, 2026.</w:t>
      </w:r>
    </w:p>
    <w:p>
      <w:pPr>
        <w:spacing w:after="0" w:line="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Interest expense, net increased by $7 million, to $159 million for the three months ended September 30, 2026, from $152 million for the three months ended September 30, 2025. The increase reflected a $2 million of higher interest expense from a full quarter of interest on the Senior Secured Notes due 2031 and the USD First Lien Term Loan B due 2032 issued in August 2025, partially offset by lower 2026 SOFR benchmark rates on the USD First Lien Term Loan B 2030 and 2032, and a $5 million decrease in interest income on cash and cash equivalents balances due to lower interest rates.</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Income tax benefit changed by $50 million, to $95 million for the three months ended September 30, 2026, from $45 million for the three months ended September 30, 2025. The increase was primarily attributable to the variability in pre-tax book income and loss and the jurisdictional mix of profits in which the Group has a taxable presence. It also reflected (i) $60 million of deferred income tax benefit related to the Brazil impairment of long-lived assets in the fiscal year 2026, (ii) $34 million of deferred income tax benefit related to Australia legal loss contingencies, (iii) a $40 million increase in income tax expense related to unrecognized tax benefit, (iv) the $112 million deferred tax expense in connection with the PokerStars transformation in fiscal year 2025, and (v) the $58 million deferred tax benefit in fiscal year 2025 in connection with the Boyd transaction market access payment.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increased by $359 million, to $1,148 million for the three months ended September 30, 2026, from $789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net loss margin increased to 29.6% for the three months ended September 30, 2026 from 20.8% for the three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as a result of the factors above.</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Adjusted EBITDA decreased by $118 million, to $360 million for the three months ended September 30, 2026, from $478 million for the three months ended September 30, 2025. Adjusted EBITDA margin decreased by 330 basis points from 12.6% to 9.3% reflecting the revenue performance and expenses trends outlined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Financial Metrics by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operational metrics for the U.S. segment for the interim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AMPs (Amounts in thousands)</w:t>
            </w:r>
          </w:p>
        </w:tc>
        <w:tc>
          <w:tcPr>
            <w:tcW w:w="37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1"/>
                <w:szCs w:val="21"/>
                <w:color w:val="auto"/>
              </w:rPr>
            </w:pPr>
          </w:p>
        </w:tc>
      </w:tr>
      <w:tr>
        <w:trPr>
          <w:trHeight w:val="26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U.S. AMPs </w:t>
            </w:r>
            <w:r>
              <w:rPr>
                <w:rFonts w:ascii="Times New Roman" w:cs="Times New Roman" w:eastAsia="Times New Roman" w:hAnsi="Times New Roman"/>
                <w:sz w:val="23"/>
                <w:szCs w:val="23"/>
                <w:b w:val="1"/>
                <w:bCs w:val="1"/>
                <w:color w:val="auto"/>
                <w:vertAlign w:val="superscript"/>
              </w:rPr>
              <w:t>1</w:t>
            </w:r>
          </w:p>
        </w:tc>
        <w:tc>
          <w:tcPr>
            <w:tcW w:w="3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3,476</w:t>
            </w:r>
          </w:p>
        </w:tc>
        <w:tc>
          <w:tcPr>
            <w:tcW w:w="80" w:type="dxa"/>
            <w:vAlign w:val="bottom"/>
          </w:tcPr>
          <w:p>
            <w:pPr>
              <w:spacing w:after="0"/>
              <w:rPr>
                <w:sz w:val="22"/>
                <w:szCs w:val="22"/>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U.S. AMPs by Product Category </w:t>
            </w:r>
            <w:r>
              <w:rPr>
                <w:rFonts w:ascii="Times New Roman" w:cs="Times New Roman" w:eastAsia="Times New Roman" w:hAnsi="Times New Roman"/>
                <w:sz w:val="23"/>
                <w:szCs w:val="23"/>
                <w:b w:val="1"/>
                <w:bCs w:val="1"/>
                <w:color w:val="auto"/>
                <w:vertAlign w:val="superscript"/>
              </w:rPr>
              <w:t>1</w:t>
            </w:r>
          </w:p>
        </w:tc>
        <w:tc>
          <w:tcPr>
            <w:tcW w:w="3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Sportsbook</w:t>
            </w:r>
          </w:p>
        </w:tc>
        <w:tc>
          <w:tcPr>
            <w:tcW w:w="3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2,729</w:t>
            </w:r>
          </w:p>
        </w:tc>
        <w:tc>
          <w:tcPr>
            <w:tcW w:w="80" w:type="dxa"/>
            <w:vAlign w:val="bottom"/>
          </w:tcPr>
          <w:p>
            <w:pPr>
              <w:spacing w:after="0"/>
              <w:rPr>
                <w:sz w:val="23"/>
                <w:szCs w:val="23"/>
                <w:color w:val="auto"/>
              </w:rPr>
            </w:pPr>
          </w:p>
        </w:tc>
      </w:tr>
      <w:tr>
        <w:trPr>
          <w:trHeight w:val="263"/>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iGaming</w:t>
            </w:r>
          </w:p>
        </w:tc>
        <w:tc>
          <w:tcPr>
            <w:tcW w:w="3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22"/>
                <w:szCs w:val="22"/>
                <w:color w:val="auto"/>
              </w:rPr>
            </w:pPr>
          </w:p>
        </w:tc>
      </w:tr>
      <w:tr>
        <w:trPr>
          <w:trHeight w:val="277"/>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4"/>
                <w:szCs w:val="24"/>
                <w:color w:val="auto"/>
              </w:rPr>
            </w:pPr>
          </w:p>
        </w:tc>
      </w:tr>
      <w:tr>
        <w:trPr>
          <w:trHeight w:val="26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Stakes (</w:t>
            </w:r>
            <w:r>
              <w:rPr>
                <w:rFonts w:ascii="Times New Roman" w:cs="Times New Roman" w:eastAsia="Times New Roman" w:hAnsi="Times New Roman"/>
                <w:sz w:val="18"/>
                <w:szCs w:val="18"/>
                <w:i w:val="1"/>
                <w:iCs w:val="1"/>
                <w:color w:val="auto"/>
              </w:rPr>
              <w:t>amounts in $ millions</w:t>
            </w:r>
            <w:r>
              <w:rPr>
                <w:rFonts w:ascii="Times New Roman" w:cs="Times New Roman" w:eastAsia="Times New Roman" w:hAnsi="Times New Roman"/>
                <w:sz w:val="18"/>
                <w:szCs w:val="18"/>
                <w:color w:val="auto"/>
              </w:rPr>
              <w:t>)</w:t>
            </w:r>
          </w:p>
        </w:tc>
        <w:tc>
          <w:tcPr>
            <w:tcW w:w="3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12,023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10,653</w:t>
            </w:r>
          </w:p>
        </w:tc>
        <w:tc>
          <w:tcPr>
            <w:tcW w:w="80" w:type="dxa"/>
            <w:vAlign w:val="bottom"/>
          </w:tcPr>
          <w:p>
            <w:pPr>
              <w:spacing w:after="0"/>
              <w:rPr>
                <w:sz w:val="22"/>
                <w:szCs w:val="22"/>
                <w:color w:val="auto"/>
              </w:rPr>
            </w:pPr>
          </w:p>
        </w:tc>
      </w:tr>
      <w:tr>
        <w:trPr>
          <w:trHeight w:val="27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Sportsbook net revenue margin</w:t>
            </w:r>
          </w:p>
        </w:tc>
        <w:tc>
          <w:tcPr>
            <w:tcW w:w="3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Pr>
          <w:p>
            <w:pPr>
              <w:spacing w:after="0"/>
              <w:rPr>
                <w:sz w:val="24"/>
                <w:szCs w:val="24"/>
                <w:color w:val="auto"/>
              </w:rPr>
            </w:pPr>
          </w:p>
        </w:tc>
      </w:tr>
      <w:tr>
        <w:trPr>
          <w:trHeight w:val="904"/>
        </w:trPr>
        <w:tc>
          <w:tcPr>
            <w:tcW w:w="4080" w:type="dxa"/>
            <w:vAlign w:val="bottom"/>
          </w:tcPr>
          <w:p>
            <w:pPr>
              <w:spacing w:after="0"/>
              <w:rPr>
                <w:sz w:val="24"/>
                <w:szCs w:val="24"/>
                <w:color w:val="auto"/>
              </w:rPr>
            </w:pPr>
          </w:p>
        </w:tc>
        <w:tc>
          <w:tcPr>
            <w:tcW w:w="3780" w:type="dxa"/>
            <w:vAlign w:val="bottom"/>
          </w:tcPr>
          <w:p>
            <w:pPr>
              <w:jc w:val="right"/>
              <w:ind w:right="205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0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 w:hanging="432"/>
        <w:spacing w:after="0" w:line="266" w:lineRule="auto"/>
        <w:tabs>
          <w:tab w:leader="none" w:pos="431"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U.S. AMPs is not a sum total of the AMPs for each product category because in circumstances where a player uses multiple product categories within one brand, we are generally able to identify that it is the same player who is using multiple product categories and therefore count this player as only one AMP at the U.S. segment level while also counting this player as one AMP for each separate product category that the player is using. As a result, the sum of the AMPs presented at the product category level presented above is greater than the total AMPs presented at the U.S. segment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Adjusted EBITDA and Adjusted EBITDA margin for the U.S. segment for the interim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 millions, except percentages)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Sportsbook</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783</w:t>
            </w:r>
          </w:p>
        </w:tc>
      </w:tr>
      <w:tr>
        <w:trPr>
          <w:trHeight w:val="277"/>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iGaming</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w:t>
            </w:r>
          </w:p>
        </w:tc>
      </w:tr>
      <w:tr>
        <w:trPr>
          <w:trHeight w:val="263"/>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55</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U.S.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1,455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1,368</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r>
      <w:tr>
        <w:trPr>
          <w:trHeight w:val="27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00" w:lineRule="exact"/>
        <w:rPr>
          <w:sz w:val="20"/>
          <w:szCs w:val="20"/>
          <w:color w:val="auto"/>
        </w:rPr>
      </w:pP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U.S. segment revenue increased by 6% period over period to $1,455 million for the three months ended September 30, 2026, from $1,368 million for the three months ended September 30, 2025. AMPs increased 12% to 3.9 million.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Sportsbook revenue increased by 4%, driven by a 13% increase in stakes to $12,023 million for the three months ended September 30, 2026, partially offset by a decrease in net revenue margin to 6.8%.</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Stakes growth was driven by a strengthened customer proposition, including the expansion of our rewards program to all sportsbook customers; improved social features such as bet-sharing, and greater personalization through Re-Use+ and Bet it Again markets; expanded differentiated betting market offering to include FIFA World Cup same game parlay and FanDuel Labs for WNBA and NFL.</w:t>
      </w:r>
    </w:p>
    <w:p>
      <w:pPr>
        <w:spacing w:after="0" w:line="68"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Sportsbook net revenue margin decreased 60 basis points, reflecting a 60 basis points increase in promotional spend, primarily for our launch in Alberta and the FIFA World Cup. Structural revenue margin was flat period over period at 12.9% and sports results remained flat at 10 basis points unfavorable.</w:t>
      </w:r>
    </w:p>
    <w:p>
      <w:pPr>
        <w:spacing w:after="0" w:line="3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iGaming revenue for the three months ended September 30, 2026 increased by 8% driven by a 24% increase in AMPs to 1.2 million for the three months ended September 30, 2026 compared to 0.9 million for the three months ended September 30, 2025, despite competitive dynamics and market moderation. AMP growth was primarily driven by new content releases, including Huff ‘n’ Even More Puff Hard Hat and content featuring Vegas Matt and Lady Luck, alongside our launch in Alberta.</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revenue for the three months ended September 30, 2026 increased by 20% period over period. The increase was primarily driven by revenue from market making.</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Adjusted EBITDA for our U.S. segment was $3 million for the three months ended September 30, 2026, a $48 million decrease compared to $51 million for the three months ended September 30, 2025. Adjusted EBITDA margin decreased to 0.2% for the three months ended September 30, 2026 from 3.7% for the three months ended September 30, 2025.</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decrease in Adjusted EBITDA margin was primarily driven by a 210 basis points increase in sales and marketing expenses as a percentage of revenue, reflecting investments in FanDuel Predicts, our launch in Alberta and the FIFA World Cup, and a 190 basis points increase in cost of sales as a percentage of revenue from 60.2% for the three months ended September 30, 2025 to 62.1% for the three months ended September 30, 2026, primarily driven by higher promotional spending and payment processing costs. These factors were partially offset by a 40 basis points decrease in technology, research and development expenses and 10 basis points decrease in general and administrative expenses, each as a percentage of revenue, reflecting operating leverage and cost savings implemented in the second quarter of 2026, partially offset by increased investments in cloud server costs, prediction markets and regulatory affairs.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operational metrics for the International segment for the interim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AMPs (Amounts in thousands)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International AMPs </w:t>
            </w:r>
            <w:r>
              <w:rPr>
                <w:rFonts w:ascii="Times New Roman" w:cs="Times New Roman" w:eastAsia="Times New Roman" w:hAnsi="Times New Roman"/>
                <w:sz w:val="23"/>
                <w:szCs w:val="23"/>
                <w:b w:val="1"/>
                <w:bCs w:val="1"/>
                <w:color w:val="auto"/>
                <w:vertAlign w:val="superscript"/>
              </w:rPr>
              <w:t>1</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9,770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10,657</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International AMPs by Product Category </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Sportsbook</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5,775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5,345</w:t>
            </w:r>
          </w:p>
        </w:tc>
      </w:tr>
      <w:tr>
        <w:trPr>
          <w:trHeight w:val="263"/>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iGaming</w:t>
            </w:r>
          </w:p>
        </w:tc>
        <w:tc>
          <w:tcPr>
            <w:tcW w:w="200" w:type="dxa"/>
            <w:vAlign w:val="bottom"/>
          </w:tcPr>
          <w:p>
            <w:pPr>
              <w:spacing w:after="0"/>
              <w:rPr>
                <w:sz w:val="22"/>
                <w:szCs w:val="22"/>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6,375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6,973</w:t>
            </w:r>
          </w:p>
        </w:tc>
      </w:tr>
      <w:tr>
        <w:trPr>
          <w:trHeight w:val="27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w:t>
            </w:r>
          </w:p>
        </w:tc>
      </w:tr>
      <w:tr>
        <w:trPr>
          <w:trHeight w:val="26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Stakes (</w:t>
            </w:r>
            <w:r>
              <w:rPr>
                <w:rFonts w:ascii="Times New Roman" w:cs="Times New Roman" w:eastAsia="Times New Roman" w:hAnsi="Times New Roman"/>
                <w:sz w:val="18"/>
                <w:szCs w:val="18"/>
                <w:i w:val="1"/>
                <w:iCs w:val="1"/>
                <w:color w:val="auto"/>
              </w:rPr>
              <w:t>amounts in $ millions</w:t>
            </w: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8,571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7,902</w:t>
            </w:r>
          </w:p>
        </w:tc>
      </w:tr>
      <w:tr>
        <w:trPr>
          <w:trHeight w:val="27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Sportsbook net revenue margin</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12.4 %</w:t>
            </w:r>
          </w:p>
        </w:tc>
      </w:tr>
    </w:tbl>
    <w:p>
      <w:pPr>
        <w:spacing w:after="0" w:line="193" w:lineRule="exact"/>
        <w:rPr>
          <w:sz w:val="20"/>
          <w:szCs w:val="20"/>
          <w:color w:val="auto"/>
        </w:rPr>
      </w:pPr>
    </w:p>
    <w:p>
      <w:pPr>
        <w:ind w:left="440" w:right="80" w:hanging="432"/>
        <w:spacing w:after="0" w:line="265" w:lineRule="auto"/>
        <w:tabs>
          <w:tab w:leader="none" w:pos="431"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International AMPs is not a sum total of the AMPs for each product category because in circumstances where a player uses multiple product categories within one brand, we are generally able to identify that it is the same player who is using multiple product categories and therefore count this player as only one AMP at the International segment level while also counting this player as one AMP for each separate product category that the player is using. As a result, the sum of the AMPs presented at the product category level presented above is greater than the total AMPs presented at the International segment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Adjusted EBITDA and Adjusted EBITDA margin for the International segment for the interim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r>
      <w:tr>
        <w:trPr>
          <w:trHeight w:val="250"/>
        </w:trPr>
        <w:tc>
          <w:tcPr>
            <w:tcW w:w="6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 millions, except percentages)</w:t>
            </w:r>
          </w:p>
        </w:tc>
        <w:tc>
          <w:tcPr>
            <w:tcW w:w="96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9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80" w:type="dxa"/>
            <w:vAlign w:val="bottom"/>
            <w:tcBorders>
              <w:right w:val="single" w:sz="8" w:color="CCEEFF"/>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6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Sportsbook</w:t>
            </w:r>
          </w:p>
        </w:tc>
        <w:tc>
          <w:tcPr>
            <w:tcW w:w="9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963</w:t>
            </w:r>
          </w:p>
        </w:tc>
        <w:tc>
          <w:tcPr>
            <w:tcW w:w="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982</w:t>
            </w:r>
          </w:p>
        </w:tc>
      </w:tr>
      <w:tr>
        <w:trPr>
          <w:trHeight w:val="277"/>
        </w:trPr>
        <w:tc>
          <w:tcPr>
            <w:tcW w:w="6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iGaming</w:t>
            </w: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93"/>
              </w:rPr>
              <w:t>1,379</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1,369</w:t>
            </w:r>
          </w:p>
        </w:tc>
      </w:tr>
      <w:tr>
        <w:trPr>
          <w:trHeight w:val="263"/>
        </w:trPr>
        <w:tc>
          <w:tcPr>
            <w:tcW w:w="64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77</w:t>
            </w:r>
          </w:p>
        </w:tc>
        <w:tc>
          <w:tcPr>
            <w:tcW w:w="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r>
      <w:tr>
        <w:trPr>
          <w:trHeight w:val="270"/>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International revenue</w:t>
            </w:r>
          </w:p>
        </w:tc>
        <w:tc>
          <w:tcPr>
            <w:tcW w:w="9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3"/>
              </w:rPr>
              <w:t>2,419</w:t>
            </w:r>
          </w:p>
        </w:tc>
        <w:tc>
          <w:tcPr>
            <w:tcW w:w="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2,426</w:t>
            </w:r>
          </w:p>
        </w:tc>
      </w:tr>
      <w:tr>
        <w:trPr>
          <w:trHeight w:val="257"/>
        </w:trPr>
        <w:tc>
          <w:tcPr>
            <w:tcW w:w="6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9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435</w:t>
            </w:r>
          </w:p>
        </w:tc>
        <w:tc>
          <w:tcPr>
            <w:tcW w:w="4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505</w:t>
            </w:r>
          </w:p>
        </w:tc>
      </w:tr>
      <w:tr>
        <w:trPr>
          <w:trHeight w:val="277"/>
        </w:trPr>
        <w:tc>
          <w:tcPr>
            <w:tcW w:w="6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9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r>
      <w:tr>
        <w:trPr>
          <w:trHeight w:val="445"/>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tables presents disaggregated revenue for the International segment: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8"/>
        </w:trPr>
        <w:tc>
          <w:tcPr>
            <w:tcW w:w="16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8"/>
        </w:trPr>
        <w:tc>
          <w:tcPr>
            <w:tcW w:w="16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6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7"/>
        </w:trPr>
        <w:tc>
          <w:tcPr>
            <w:tcW w:w="1640" w:type="dxa"/>
            <w:vAlign w:val="bottom"/>
          </w:tcPr>
          <w:p>
            <w:pPr>
              <w:spacing w:after="0"/>
              <w:rPr>
                <w:sz w:val="22"/>
                <w:szCs w:val="22"/>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56"/>
        </w:trPr>
        <w:tc>
          <w:tcPr>
            <w:tcW w:w="1640" w:type="dxa"/>
            <w:vAlign w:val="bottom"/>
          </w:tcPr>
          <w:p>
            <w:pPr>
              <w:spacing w:after="0"/>
              <w:rPr>
                <w:sz w:val="22"/>
                <w:szCs w:val="22"/>
                <w:color w:val="auto"/>
              </w:rPr>
            </w:pPr>
          </w:p>
        </w:tc>
        <w:tc>
          <w:tcPr>
            <w:tcW w:w="484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 xml:space="preserve">UKI </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1640" w:type="dxa"/>
            <w:vAlign w:val="bottom"/>
          </w:tcPr>
          <w:p>
            <w:pPr>
              <w:spacing w:after="0"/>
              <w:rPr>
                <w:sz w:val="23"/>
                <w:szCs w:val="23"/>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Southern Europe and Africa </w:t>
            </w:r>
            <w:r>
              <w:rPr>
                <w:rFonts w:ascii="Times New Roman" w:cs="Times New Roman" w:eastAsia="Times New Roman" w:hAnsi="Times New Roman"/>
                <w:sz w:val="23"/>
                <w:szCs w:val="23"/>
                <w:color w:val="auto"/>
                <w:vertAlign w:val="superscript"/>
              </w:rPr>
              <w:t>2</w:t>
            </w:r>
          </w:p>
        </w:tc>
        <w:tc>
          <w:tcPr>
            <w:tcW w:w="96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640" w:type="dxa"/>
            <w:vAlign w:val="bottom"/>
          </w:tcPr>
          <w:p>
            <w:pPr>
              <w:spacing w:after="0"/>
              <w:rPr>
                <w:sz w:val="23"/>
                <w:szCs w:val="23"/>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Asia Pacific </w:t>
            </w:r>
            <w:r>
              <w:rPr>
                <w:rFonts w:ascii="Times New Roman" w:cs="Times New Roman" w:eastAsia="Times New Roman" w:hAnsi="Times New Roman"/>
                <w:sz w:val="23"/>
                <w:szCs w:val="23"/>
                <w:color w:val="auto"/>
                <w:vertAlign w:val="superscript"/>
              </w:rPr>
              <w:t>3</w:t>
            </w:r>
          </w:p>
        </w:tc>
        <w:tc>
          <w:tcPr>
            <w:tcW w:w="9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640" w:type="dxa"/>
            <w:vAlign w:val="bottom"/>
          </w:tcPr>
          <w:p>
            <w:pPr>
              <w:spacing w:after="0"/>
              <w:rPr>
                <w:sz w:val="23"/>
                <w:szCs w:val="23"/>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Central and Eastern Europe </w:t>
            </w:r>
            <w:r>
              <w:rPr>
                <w:rFonts w:ascii="Times New Roman" w:cs="Times New Roman" w:eastAsia="Times New Roman" w:hAnsi="Times New Roman"/>
                <w:sz w:val="23"/>
                <w:szCs w:val="23"/>
                <w:color w:val="auto"/>
                <w:vertAlign w:val="superscript"/>
              </w:rPr>
              <w:t>4</w:t>
            </w:r>
          </w:p>
        </w:tc>
        <w:tc>
          <w:tcPr>
            <w:tcW w:w="96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640" w:type="dxa"/>
            <w:vAlign w:val="bottom"/>
          </w:tcPr>
          <w:p>
            <w:pPr>
              <w:spacing w:after="0"/>
              <w:rPr>
                <w:sz w:val="23"/>
                <w:szCs w:val="23"/>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Brazil </w:t>
            </w:r>
            <w:r>
              <w:rPr>
                <w:rFonts w:ascii="Times New Roman" w:cs="Times New Roman" w:eastAsia="Times New Roman" w:hAnsi="Times New Roman"/>
                <w:sz w:val="23"/>
                <w:szCs w:val="23"/>
                <w:color w:val="auto"/>
                <w:vertAlign w:val="superscript"/>
              </w:rPr>
              <w:t>5</w:t>
            </w:r>
          </w:p>
        </w:tc>
        <w:tc>
          <w:tcPr>
            <w:tcW w:w="96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640" w:type="dxa"/>
            <w:vAlign w:val="bottom"/>
          </w:tcPr>
          <w:p>
            <w:pPr>
              <w:spacing w:after="0"/>
              <w:rPr>
                <w:sz w:val="23"/>
                <w:szCs w:val="23"/>
                <w:color w:val="auto"/>
              </w:rPr>
            </w:pPr>
          </w:p>
        </w:tc>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Other regions </w:t>
            </w:r>
            <w:r>
              <w:rPr>
                <w:rFonts w:ascii="Times New Roman" w:cs="Times New Roman" w:eastAsia="Times New Roman" w:hAnsi="Times New Roman"/>
                <w:sz w:val="23"/>
                <w:szCs w:val="23"/>
                <w:color w:val="auto"/>
                <w:vertAlign w:val="superscript"/>
              </w:rPr>
              <w:t>6</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0"/>
        </w:trPr>
        <w:tc>
          <w:tcPr>
            <w:tcW w:w="1640" w:type="dxa"/>
            <w:vAlign w:val="bottom"/>
          </w:tcPr>
          <w:p>
            <w:pPr>
              <w:spacing w:after="0"/>
              <w:rPr>
                <w:sz w:val="21"/>
                <w:szCs w:val="21"/>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International segment revenue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2,419</w:t>
            </w:r>
          </w:p>
        </w:tc>
        <w:tc>
          <w:tcPr>
            <w:tcW w:w="10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2,426</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bl>
    <w:p>
      <w:pPr>
        <w:spacing w:after="0" w:line="28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UKI represents Sky Betting &amp; Gaming, Paddy Power and Betfair UK and Ireland operations as well as the tombola brand.</w:t>
      </w:r>
    </w:p>
    <w:p>
      <w:pPr>
        <w:spacing w:after="0" w:line="27" w:lineRule="exact"/>
        <w:rPr>
          <w:rFonts w:ascii="Times New Roman" w:cs="Times New Roman" w:eastAsia="Times New Roman" w:hAnsi="Times New Roman"/>
          <w:sz w:val="14"/>
          <w:szCs w:val="14"/>
          <w:color w:val="auto"/>
        </w:rPr>
      </w:pPr>
    </w:p>
    <w:p>
      <w:pPr>
        <w:ind w:left="340" w:right="220" w:hanging="332"/>
        <w:spacing w:after="0" w:line="243"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Southern Europe and Africa comprises the Italian operations of our Sisal, Snai (effective from the acquisition date of April 30, 2025) and PokerStars brands as well as Sisal’s business in Türkiye and Morocco and PokerStars’ Southern European operations (beginning January 1, 2026).</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Asia Pacific includes our Sportsbet business in Australia and Junglee in India (until August 22, 2025).</w:t>
      </w:r>
    </w:p>
    <w:p>
      <w:pPr>
        <w:spacing w:after="0" w:line="1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Central and Eastern Europe comprises Adjarabet in Georgia and Armenia together with MaxBet in Serbia, Bosnia and Herzegovina, North Macedonia and Montenegro.</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hanging="332"/>
        <w:spacing w:after="0" w:line="262" w:lineRule="auto"/>
        <w:tabs>
          <w:tab w:leader="none" w:pos="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Brazil reflects our Betfair and Betnacional (effective from the acquisition date of May 14, 2025) operations in the region. Following the Measure announced on September 25, 2026 banning fixed-odds sports betting and online gaming, our operations in Brazil are currently ceased. In October 2026, we have restructured our business to focus on Betnacional as our sole brand in Brazil, closing our Betfair Brazil operation.</w:t>
      </w:r>
    </w:p>
    <w:p>
      <w:pPr>
        <w:spacing w:after="0" w:line="1" w:lineRule="exact"/>
        <w:rPr>
          <w:rFonts w:ascii="Times New Roman" w:cs="Times New Roman" w:eastAsia="Times New Roman" w:hAnsi="Times New Roman"/>
          <w:sz w:val="14"/>
          <w:szCs w:val="14"/>
          <w:color w:val="auto"/>
        </w:rPr>
      </w:pPr>
    </w:p>
    <w:p>
      <w:pPr>
        <w:ind w:left="340" w:right="80" w:hanging="332"/>
        <w:spacing w:after="0" w:line="280" w:lineRule="auto"/>
        <w:tabs>
          <w:tab w:leader="none" w:pos="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regions comprise PokerStars’ non-Italian and Southern European operations (beginning January 1, 2026, PokerStars Southern Europe operations formed part of the Southern Europe and Africa region, and beginning April 1, 2026, PokerStars’ North America operations formed part of the U.S. region, respectively) and Betfair’s International business excluding Betfair Brazil.</w:t>
      </w:r>
    </w:p>
    <w:p>
      <w:pPr>
        <w:spacing w:after="0" w:line="24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International segment revenue was largely flat period over period at $2,419 million for the three months ended September 30, 2026 compared to $2,426 million for the three months ended September 30, 2025. AMPs decreased by 8% period over period driven by the cessation of operations in India during August 2025, partially offset by growth in SEA and UKI.</w:t>
      </w:r>
    </w:p>
    <w:p>
      <w:pPr>
        <w:spacing w:after="0" w:line="6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Sportsbook revenue decreased by 2%, to $963 million for the three months ended September 30, 2026 from $982 million for the three months ended September 30, 2025, as an 8% stakes increase from the FIFA World Cup and the start of the new soccer season, together with a 2% period over period benefit from favorable changes in foreign currency exchange rates, was more than offset by a 120 basis points decline in net revenue margin to 11.2% for the three months ended September 30, 2026. The margin decline reflected (i) a 130 basis points adverse sports results impact, primarily in UKI and SEA (three months ended September 30, 2026: 150 basis points unfavorable, three months ended September 30, 2025: 20 basis points unfavorable), (ii) a 10 basis points increase in promotional spend to 3.8% of stakes related to FIFA World Cup investment in UKI and APAC, and (iii) a 20 basis points improvement in structural margin from favorable sports and bet mix in UKI and SEA, partially offset by adverse sports mix in APAC.</w:t>
      </w:r>
    </w:p>
    <w:p>
      <w:pPr>
        <w:spacing w:after="0" w:line="8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iGaming revenue increased by 1%, to $1,379 million for the three months ended September 30, 2026 from $1,369 million for the three months ended September 30, 2025, primarily driven by growth in UKI and SEA, which more than offset the impact of the cessation of operations in India during August 2025 and lower revenue in Brazil.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revenue for the three months ended September 30, 2026 was largely flat period over period.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regional basis:</w:t>
      </w:r>
    </w:p>
    <w:p>
      <w:pPr>
        <w:spacing w:after="0" w:line="11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UKI revenue grew by 4% period over period. UKI sportsbook revenue decreased 6% reflecting a 210 basis points adverse sports results impact on sportsbook net revenue margin, partially offset by a 5% stake growth driven by FIFA World Cup and improved engagement at start of the new soccer season. UKI iGaming revenue grew 12% period over period, supported by a 20% increase in AMPs, driven by improved cross selling during the FIFA World Cup and exclusive content releases.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SEA revenue grew 13% period over period, with revenue growth of 5% driven by the transfer of PokerStars’ Southern European customers to SEA from Other regions in the first quarter of 2026. SEA sportsbook revenue grew 3% period over period reflecting a 14% growth in stakes driven by FIFA World Cup momentum and further product enhancements, partially offset by a 160 basis points decline in sportsbook net revenue margin from adverse sports results and 2% unfavorable change in foreign currency exchange rates. iGaming revenue grew 17% period over period supported by operational execution in Sisal Italy, expanded product offerings in Türkiye, and the transfer of PokerStars’ Southern European customers to SEA from Other regions which contributed 7% growth, partially offset by 2% impact from unfavorable change in foreign currency exchange rates.</w:t>
      </w:r>
    </w:p>
    <w:p>
      <w:pPr>
        <w:spacing w:after="0" w:line="79"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APAC revenue decreased 4% period over period. Sportsbook revenue increased by 4%, primarily driven by a 14% stake growth from the FIFA World Cup and closing rounds of the AFL and supported by an 8% favorable change in foreign currency exchange rates, partly offset by a decrease in sportsbook net revenue margin driven by adverse sports mix, and adverse sports results. iGaming revenue declined by 100% period over period following the cessation of our Indian operations after the prohibition of real-money gaming in August 2025.</w:t>
      </w:r>
    </w:p>
    <w:p>
      <w:pPr>
        <w:spacing w:after="0" w:line="7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CEE revenue grew 10% period over period driven by 9% iGaming growth from market share gains in Georgia, Serbia and Armenia, and 14% growth in sportsbook revenue reflecting increased customer engagement during the FIFA World Cup.</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Brazil revenue declined by 31% period over period driven by socioeconomic measures implemented earlier in the year and an adverse swing in sports results, which more than offset sportsbook and iGaming product enhancements made in the quarter. Favorable change in foreign currency exchange rates contributed revenue growth of 4%. Operations in Brazil ceased at the end of September following the implementation of a provisional measure announced on September 25, 2026. See “Business Environment” for further details.</w:t>
      </w:r>
    </w:p>
    <w:p>
      <w:pPr>
        <w:spacing w:after="0" w:line="72"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Other regions revenue decreased by 48% period over period, with 21% of the decrease driven by the transfer of PokerStars' Southern European customers to the SEA region and North America customers to the U.S. segment, together with the continued decline in activity on the PokerStars global platform.</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360"/>
        <w:spacing w:after="0" w:line="312" w:lineRule="auto"/>
        <w:rPr>
          <w:sz w:val="20"/>
          <w:szCs w:val="20"/>
          <w:color w:val="auto"/>
        </w:rPr>
      </w:pPr>
      <w:r>
        <w:rPr>
          <w:rFonts w:ascii="Times New Roman" w:cs="Times New Roman" w:eastAsia="Times New Roman" w:hAnsi="Times New Roman"/>
          <w:sz w:val="17"/>
          <w:szCs w:val="17"/>
          <w:color w:val="auto"/>
        </w:rPr>
        <w:t>Adjusted EBITDA for International was $435 million for the three months ended September 30, 2026, a 14% decrease from $505 million for the three months ended September 30, 2025. Adjusted EBITDA margin decreased by 280 basis points to 18.0% for the three months ended September 30, 2026.</w:t>
      </w:r>
    </w:p>
    <w:p>
      <w:pPr>
        <w:spacing w:after="0" w:line="3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overall decrease in Adjusted EBITDA margin was primarily driven by a 490 basis points increase in cost of sales as a percentage of revenue reflecting higher remote gaming duty in the UK, and a 50 basis points increase in technology, research and development expense due to platform support costs associated with the PokerStars transformation program and AI development. These impacts were partially offset by a 160 basis points decrease in sales and marketing expenses reflecting lower spend in Brazil in response to the challenging trading environment and 100 basis points decrease in general and administrative expenses, driven by savings from UKI and PokerStars transformation programs and the cessation of operations in India.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compared to nine months ended September 30,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AMPs for the Group, by total Group and by product category for the interim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AMPs (Amounts in thousands)</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Group AMPs </w:t>
            </w:r>
            <w:r>
              <w:rPr>
                <w:rFonts w:ascii="Times New Roman" w:cs="Times New Roman" w:eastAsia="Times New Roman" w:hAnsi="Times New Roman"/>
                <w:sz w:val="23"/>
                <w:szCs w:val="23"/>
                <w:b w:val="1"/>
                <w:bCs w:val="1"/>
                <w:color w:val="auto"/>
                <w:vertAlign w:val="superscript"/>
              </w:rPr>
              <w:t>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14,112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15,509</w:t>
            </w:r>
          </w:p>
        </w:tc>
      </w:tr>
      <w:tr>
        <w:trPr>
          <w:trHeight w:val="27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Group AMPs by Product Category </w:t>
            </w:r>
            <w:r>
              <w:rPr>
                <w:rFonts w:ascii="Times New Roman" w:cs="Times New Roman" w:eastAsia="Times New Roman" w:hAnsi="Times New Roman"/>
                <w:sz w:val="23"/>
                <w:szCs w:val="23"/>
                <w:b w:val="1"/>
                <w:bCs w:val="1"/>
                <w:color w:val="auto"/>
                <w:vertAlign w:val="superscript"/>
              </w:rPr>
              <w:t>1</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0"/>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Sportsbook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9,026</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8,732</w:t>
            </w:r>
          </w:p>
        </w:tc>
      </w:tr>
      <w:tr>
        <w:trPr>
          <w:trHeight w:val="263"/>
        </w:trPr>
        <w:tc>
          <w:tcPr>
            <w:tcW w:w="8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iGaming</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r>
      <w:tr>
        <w:trPr>
          <w:trHeight w:val="277"/>
        </w:trPr>
        <w:tc>
          <w:tcPr>
            <w:tcW w:w="8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bl>
    <w:p>
      <w:pPr>
        <w:spacing w:after="0" w:line="288" w:lineRule="exact"/>
        <w:rPr>
          <w:sz w:val="20"/>
          <w:szCs w:val="20"/>
          <w:color w:val="auto"/>
        </w:rPr>
      </w:pPr>
    </w:p>
    <w:p>
      <w:pPr>
        <w:ind w:left="440" w:right="40" w:hanging="432"/>
        <w:spacing w:after="0" w:line="266" w:lineRule="auto"/>
        <w:tabs>
          <w:tab w:leader="none" w:pos="431"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circumstances where a player uses multiple product categories within one brand, we are generally able to identify that it is the same player who is using multiple product categories and therefore count this player as only one AMP at the Group level while also counting this player as one AMP for each separate product category that the player is using. As a result, the sum of the AMPs presented at the product category level presented above is greater than the total AMPs presented at the Group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financial results for the periods indicated and is derived from our Unaudited Condensed Consolidated Financial Statements for the interim periods indicated: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 millions, except percentages)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11,646</w:t>
            </w:r>
          </w:p>
        </w:tc>
      </w:tr>
      <w:tr>
        <w:trPr>
          <w:trHeight w:val="263"/>
        </w:trPr>
        <w:tc>
          <w:tcPr>
            <w:tcW w:w="7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(7,436)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(6,352)</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5,068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5,294</w:t>
            </w:r>
          </w:p>
        </w:tc>
      </w:tr>
      <w:tr>
        <w:trPr>
          <w:trHeight w:val="26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research and development expenses</w:t>
            </w:r>
          </w:p>
        </w:tc>
        <w:tc>
          <w:tcPr>
            <w:tcW w:w="220" w:type="dxa"/>
            <w:vAlign w:val="bottom"/>
          </w:tcPr>
          <w:p>
            <w:pPr>
              <w:spacing w:after="0"/>
              <w:rPr>
                <w:sz w:val="22"/>
                <w:szCs w:val="22"/>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(746)</w:t>
            </w:r>
          </w:p>
        </w:tc>
      </w:tr>
      <w:tr>
        <w:trPr>
          <w:trHeight w:val="277"/>
        </w:trPr>
        <w:tc>
          <w:tcPr>
            <w:tcW w:w="7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(3,146)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(2,595)</w:t>
            </w:r>
          </w:p>
        </w:tc>
      </w:tr>
      <w:tr>
        <w:trPr>
          <w:trHeight w:val="263"/>
        </w:trPr>
        <w:tc>
          <w:tcPr>
            <w:tcW w:w="7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22"/>
                <w:szCs w:val="22"/>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(1,658)</w:t>
            </w:r>
          </w:p>
        </w:tc>
      </w:tr>
      <w:tr>
        <w:trPr>
          <w:trHeight w:val="277"/>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 impairment</w:t>
            </w:r>
          </w:p>
        </w:tc>
        <w:tc>
          <w:tcPr>
            <w:tcW w:w="22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(517)</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(1,256)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(222)</w:t>
            </w:r>
          </w:p>
        </w:tc>
      </w:tr>
      <w:tr>
        <w:trPr>
          <w:trHeight w:val="27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w:t>
            </w:r>
          </w:p>
        </w:tc>
      </w:tr>
      <w:tr>
        <w:trPr>
          <w:trHeight w:val="263"/>
        </w:trPr>
        <w:tc>
          <w:tcPr>
            <w:tcW w:w="7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(347)</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(275)</w:t>
            </w:r>
          </w:p>
        </w:tc>
      </w:tr>
      <w:tr>
        <w:trPr>
          <w:trHeight w:val="270"/>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(142)</w:t>
            </w:r>
          </w:p>
        </w:tc>
      </w:tr>
      <w:tr>
        <w:trPr>
          <w:trHeight w:val="264"/>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(1,235)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(417)</w:t>
            </w:r>
          </w:p>
        </w:tc>
      </w:tr>
      <w:tr>
        <w:trPr>
          <w:trHeight w:val="26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Net loss margin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4"/>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2,013</w:t>
            </w:r>
          </w:p>
        </w:tc>
      </w:tr>
      <w:tr>
        <w:trPr>
          <w:trHeight w:val="26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Adjusted EBITDA margin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200" w:lineRule="exact"/>
        <w:rPr>
          <w:sz w:val="20"/>
          <w:szCs w:val="20"/>
          <w:color w:val="auto"/>
        </w:rPr>
      </w:pPr>
    </w:p>
    <w:p>
      <w:pPr>
        <w:spacing w:after="0" w:line="344"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loss margin is net loss divided by revenue.</w:t>
      </w:r>
    </w:p>
    <w:p>
      <w:pPr>
        <w:spacing w:after="0" w:line="17" w:lineRule="exact"/>
        <w:rPr>
          <w:rFonts w:ascii="Times New Roman" w:cs="Times New Roman" w:eastAsia="Times New Roman" w:hAnsi="Times New Roman"/>
          <w:sz w:val="14"/>
          <w:szCs w:val="14"/>
          <w:color w:val="auto"/>
        </w:rPr>
      </w:pPr>
    </w:p>
    <w:p>
      <w:pPr>
        <w:ind w:left="660" w:right="120" w:hanging="652"/>
        <w:spacing w:after="0" w:line="278" w:lineRule="auto"/>
        <w:tabs>
          <w:tab w:leader="none" w:pos="6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and Adjusted EBITDA margin are non-GAAP financial measures. See “Supplemental Disclosure of Non-GAAP Measures” for additional information about these measures and reconciliations to the most directly comparable financial measures calculated in accordance with U.S. GAAP.</w:t>
      </w:r>
    </w:p>
    <w:p>
      <w:pPr>
        <w:spacing w:after="0" w:line="18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Revenue increased by 7%, to $12,504 million for the nine months ended September 30, 2026, from $11,646 million for the nine months ended September 30, 2025. AMPs decreased 9% to 14.1 million primarily due to the cessation of operations in India during 2025. U.S. segment revenue increased 2% as iGaming growth of 14% was partly offset by a 4% decrease in sportsbook revenue. International segment revenue increased 11%, primarily reflecting the acquisitions of Snai and NSX, which were consolidated from April 30, 2025 and May 14, 2025, respectively, and contributed a 7% increase.</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Cost of sales increased by 17% to $7,436 million for the nine months ended September 30, 2026, from $6,352 million for the nine months ended September 30, 2025. In our U.S. segment, cost of sales as a percentage of revenue increased 300 basis points, to 60.0% for the nine months ended September 30, 2026 from 57.0% for the nine months ended September 30, 2025, primarily reflecting 270 basis points increase from higher state tax rates and increased promotional spend. In the International segment, cost of sales as a percentage of revenue increased 500 basis points to 51.2% for the nine months ended September 30, 2026 from 46.2% for the nine months ended September 30, 2025, primarily due to higher remote gaming tax in UK and the acquisition of Snai which has higher cost of sales as a percentage of revenue. Cost of sales also included an $88 million increase in depreciation and amortization, primarily due to the Snai and NSX acquisitions and a change in estimate of asset useful lives, and a $55 million increase in legal loss contingencies related to the Indian GST matter.</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Technology, research and development expenses increased by 22%, to $909 million for the nine months ended September 30, 2026 from $746 million for the nine months ended September 30, 2025. In the U.S. segment, expenses increased $30 million, primarily due to increased headcount, higher server and cloud services costs to support scaling of our business and investment in FanDuel Predicts. In the International segment, expenses increased $61 million primarily attributable to (i) a $16 million increase due to the Snai and NSX acquisitions, (ii) employee costs driven by investment in research and development activities, (iii) server migration costs, (iv) platform support costs associated with PokerStars transformation program, and (v) inflation. In addition, the increase was due to (i) a $53 million impairment of Brazil assets in 2026, compared to a $16 million impairment of Junglee assets in 2025 and (ii) higher restructuring and integration costs of $37 million primarily related to our PokerStars transformation program.</w:t>
      </w:r>
    </w:p>
    <w:p>
      <w:pPr>
        <w:spacing w:after="0" w:line="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Sales and marketing expenses increased by 21%, to $3,146 million for the nine months ended September 30, 2026, from $2,595 million for the nine months ended September 30, 2025. In our U.S. segment, sales and marketing expenses increased by 21%, or 360 basis points, as a percentage of revenue, primarily driven by investments in the FIFA World Cup, new state launches and FanDuel Predicts. In our International segment, sales and marketing expenses increased by $96 million, or 9%, with the acquisitions of Snai and NSX contributing $98 million of the increase. As a percentage of revenue, International sales and marketing expenses decreased by 40 basis points to 15.7% for the nine months ended September 30, 2026, due to (i) lower sales and marketing expenses as a percentage of revenues in Snai due to advertising restrictions in Italy and (ii) lower spend in India due the cessation of Junglee operations in August 2025, partially offset by (i) an increased proportion of Brazil in International revenue in 2026 despite the cessation of operations in September 2026 and (ii) increased spend during the FIFA World Cup. In addition, the increase in sales and marketing expenses was also driven by (i) an impairment of $230 million in relation to the Brazil business recorded in 2026, compared to a $16 million impairment of Junglee assets recorded in 2025, and (ii) an increase in depreciation and amortization expense of $52 million, primarily due to amortization of acquired intangible assets from the Snai and NSX acquisitions and change in estimated useful lives in our SkyBet and PokerStars brands.</w:t>
      </w:r>
    </w:p>
    <w:p>
      <w:pPr>
        <w:spacing w:after="0" w:line="84"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General and administrative expenses increased by 4%, to $1,728 million for the nine months ended September 30, 2026, from $1,658 million for the nine months ended September 30, 2025. In our U.S. segment, general and administrative expenses increased by $35 million, primarily due to increased headcount and professional fees. In our International segment, the acquisitions of Snai and NSX contributed a $26 million increase, and savings from the UKI and PokerStars transformation programs were partially offset by higher staff costs and inflation in SEA. Additionally, there was a period over period</w:t>
      </w:r>
    </w:p>
    <w:p>
      <w:pPr>
        <w:spacing w:after="0" w:line="3" w:lineRule="exact"/>
        <w:rPr>
          <w:sz w:val="20"/>
          <w:szCs w:val="20"/>
          <w:color w:val="auto"/>
        </w:rPr>
      </w:pPr>
    </w:p>
    <w:p>
      <w:pPr>
        <w:jc w:val="both"/>
        <w:ind w:right="240" w:firstLine="8"/>
        <w:spacing w:after="0" w:line="250"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of $145 million in legal loss contingencies, (ii) decrease of $192 million in transaction fees and associated costs, primarily driven by revised market access terms recognized in 2025 in connection with the Boyd transaction, (iii) increase of $41 million relating to the Brazil business impairment,</w:t>
      </w:r>
    </w:p>
    <w:p>
      <w:pPr>
        <w:ind w:right="400" w:firstLine="8"/>
        <w:spacing w:after="0" w:line="260" w:lineRule="auto"/>
        <w:tabs>
          <w:tab w:leader="none" w:pos="30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of $29 million in share-based compensation, and (v) increase in unallocated corporate overhead due to investments in U.S. reporting and controls environment.</w:t>
      </w:r>
    </w:p>
    <w:p>
      <w:pPr>
        <w:spacing w:after="0" w:line="73"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Goodwill impairment increased by $24 million. In 2026, goodwill impairment of $541 million relates to the Brazil business driven by the challenging trading environment and cessation of operations in Brazil in September 2026, compared to $517 million impairment of Junglee goodwill driven by the cessation of operations in India in August 2025. See Note 3. “Segments and Disaggregation of Revenue” within the Unaudited Condensed Consolidated Financial Statements for additional information.</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loss increased by $1,034 million, to $1,256 million for the nine months ended September 30, 2026, from $222 million for the nine months ended September 30, 2025, as a result of the factors above.</w:t>
      </w:r>
    </w:p>
    <w:p>
      <w:pPr>
        <w:spacing w:after="0" w:line="189"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Other income, net increased $131 million, to $425 million for the nine months ended September 30, 2026, from $294 million for the nine months ended September 30, 2025, primarily driven by a movement in the fair value gain on the Fox Option liability of $205 million, partially offset by a decrease in foreign exchange gain (loss) of $81 million due to a loss of $21 million for the nine months ended September 30, 2026 compared to a gain of $60 million for the nine months ended September 30, 2025.</w:t>
      </w:r>
    </w:p>
    <w:p>
      <w:pPr>
        <w:spacing w:after="0" w:line="6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Interest expense, net increased $130 million, to $477 million for the nine months ended September 30, 2026, from $347 million for the nine months ended September 30, 2025, primarily due to (a) a $106 million increase in interest expense resulting from the full period impact of the June 2025 issuance and subsequent third-quarter 2025 issuances of the Senior Secured Notes due 2031 and the USD First Lien Term Loan B due 2032, and (b) a $22 million reduction in interest income earned on cash and cash equivalents balances driven by lower interest rates.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Income tax benefit (expense) changed by $215 million, to $73 million income tax benefit for the nine months ended September 30, 2026, from $142 million income tax expense for the nine months ended September 30, 2025. The change is primarily attributable to the variability in pre-tax book income and loss and the jurisdictional mix of profits in which the Group has a taxable presence. It also reflected the (i) $60 million of deferred income tax benefit related to the Brazil</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of long-lived assets in the fiscal year 2026, (ii) $34 million of deferred income tax benefit related to Australia legal loss contingencies, (iii)</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$112 million deferred tax expense in connection with the PokerStars transformation in fiscal year 2025, (iv) $58 million deferred tax benefit in fiscal year 2025 in connection with the Boyd transaction, (v) $28 million of income tax expense related to the reorganization of the Betfair Brazil business in fiscal year 2025, and (vi) share-based compensation tax shortfall of $14 million for nine months ended September 30, 2026, compared to an excess tax benefit of $13 million for the nine months ended September 30, 2025.</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loss increased by $818 million, to $1,235 million for the nine months ended September 30, 2026, from $417 million for the nine months ended September 30, 2025, and net loss margin increased to 9.9% net loss margin from 3.6% net income margin for the nine months ended September 30, 2025, as a result of the factors above.</w:t>
      </w:r>
    </w:p>
    <w:p>
      <w:pPr>
        <w:spacing w:after="0" w:line="6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Adjusted EBITDA decreased by $514 million, to $1,499 million for the nine months ended September 30, 2026, from $2,013 million for the nine months ended September 30, 2025. Adjusted EBITDA margin decreased by 530 basis points from 17.3% to 12.0% reflecting the revenue performance and expenses trends outlined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Financial Metrics by Segment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operational metrics for the U.S. segment for the interim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AMPs (Amounts in thousands)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U.S. AMPs </w:t>
            </w:r>
            <w:r>
              <w:rPr>
                <w:rFonts w:ascii="Times New Roman" w:cs="Times New Roman" w:eastAsia="Times New Roman" w:hAnsi="Times New Roman"/>
                <w:sz w:val="23"/>
                <w:szCs w:val="23"/>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4,003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3,769</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U.S. AMPs by Product Category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Sportsbook</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3,019</w:t>
            </w:r>
          </w:p>
        </w:tc>
      </w:tr>
      <w:tr>
        <w:trPr>
          <w:trHeight w:val="263"/>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iGaming</w:t>
            </w: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942</w:t>
            </w:r>
          </w:p>
        </w:tc>
      </w:tr>
      <w:tr>
        <w:trPr>
          <w:trHeight w:val="27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w:t>
            </w:r>
          </w:p>
        </w:tc>
      </w:tr>
      <w:tr>
        <w:trPr>
          <w:trHeight w:val="26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Stakes (</w:t>
            </w:r>
            <w:r>
              <w:rPr>
                <w:rFonts w:ascii="Times New Roman" w:cs="Times New Roman" w:eastAsia="Times New Roman" w:hAnsi="Times New Roman"/>
                <w:sz w:val="18"/>
                <w:szCs w:val="18"/>
                <w:i w:val="1"/>
                <w:iCs w:val="1"/>
                <w:color w:val="auto"/>
              </w:rPr>
              <w:t>amounts in $ millions</w:t>
            </w: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37,337</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36,958</w:t>
            </w:r>
          </w:p>
        </w:tc>
      </w:tr>
      <w:tr>
        <w:trPr>
          <w:trHeight w:val="27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Sportsbook net revenue margin</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bl>
    <w:p>
      <w:pPr>
        <w:spacing w:after="0" w:line="288" w:lineRule="exact"/>
        <w:rPr>
          <w:sz w:val="20"/>
          <w:szCs w:val="20"/>
          <w:color w:val="auto"/>
        </w:rPr>
      </w:pPr>
    </w:p>
    <w:p>
      <w:pPr>
        <w:ind w:left="440" w:hanging="432"/>
        <w:spacing w:after="0" w:line="266" w:lineRule="auto"/>
        <w:tabs>
          <w:tab w:leader="none" w:pos="431"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U.S. AMPs is not a sum total of the AMPs for each product category because in circumstances where a player uses multiple product categories within one brand, we are generally able to identify that it is the same player who is using multiple product categories and therefore count this player as only one AMP at the U.S. segment level while also counting this player as one AMP for each separate product category that the player is using. As a result, the sum of the AMPs presented at the product category level presented above is greater than the total AMPs presented at the U.S. segment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Adjusted EBITDA and Adjusted EBITDA margin for the U.S. segment for the interim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 millions, except percentages)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6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Sportsbook</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3,136</w:t>
            </w:r>
          </w:p>
        </w:tc>
      </w:tr>
      <w:tr>
        <w:trPr>
          <w:trHeight w:val="277"/>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iGaming</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1,509</w:t>
            </w:r>
          </w:p>
        </w:tc>
      </w:tr>
      <w:tr>
        <w:trPr>
          <w:trHeight w:val="263"/>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180</w:t>
            </w:r>
          </w:p>
        </w:tc>
      </w:tr>
      <w:tr>
        <w:trPr>
          <w:trHeight w:val="27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U.S.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4,901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4,825</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612</w:t>
            </w:r>
          </w:p>
        </w:tc>
      </w:tr>
      <w:tr>
        <w:trPr>
          <w:trHeight w:val="27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segment revenue increased by 2% period over period, and AMPs increased by 6%.</w:t>
      </w:r>
    </w:p>
    <w:p>
      <w:pPr>
        <w:spacing w:after="0" w:line="11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Sportsbook revenue decreased by 4%, primarily due to lower net revenue margin, partially offset by a 1% period over period increase in stakes to $37,337 million for the nine months ended September 30,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Sportsbook net revenue margin decreased by 50 basis points period over period to 8.0% for the nine months ended September 30, 2026 compared to 8.5% for the nine months ended September 30, 2025. The decrease reflected a 90 basis points increase in promotional spend related to investments in new state launches and the FIFA World Cup, partially offset by a 40 basis points improvement in sports results (nine months ended September 30, 2026: 10 basis points unfavorable, nine months ended September 30, 2025: 50 basis points unfavorable). Structural revenue margin was flat at 13.6%.</w:t>
      </w:r>
    </w:p>
    <w:p>
      <w:pPr>
        <w:spacing w:after="0" w:line="7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iGaming revenue for the nine months ended September 30, 2026 increased by 14%, driven by an increase in AMPs of 16% period over period to 1.1 million for the nine months ended September 30, 2026 compared to 0.9 million for the nine months ended September 30, 2025.</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revenue for the nine months ended September 30, 2026 increased by 4% primarily reflecting market making revenues and FanDuel Predicts, partially offset by lower horse racing revenue.</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Adjusted EBITDA for our U.S. segment was $241 million for the nine months ended September 30, 2026, a $371 million decrease compared to $612 million for the nine months ended September 30, 2025. Adjusted EBITDA margin decreased to 4.9% for the nine months ended September 30, 2026 from 12.7% for the nine months ended September 30, 2025.</w:t>
      </w:r>
    </w:p>
    <w:p>
      <w:pPr>
        <w:spacing w:after="0" w:line="6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decrease in Adjusted EBITDA margin was driven by a 360 basis points increase in sales and marketing expenses as a percentage of revenue reflecting investments in the FIFA World Cup, new state launches and FanDuel Predicts; a 300 basis points increase in cost of sales as a percentage of revenue, primarily due to higher tax rates and increased player incentives and a greater mix of iGaming revenue, which carries a higher cost of sales; a 60 basis points increase in general and administrative expenses as a percentage of revenues primarily due to higher headcount and professional fees; and a 60 basis points increase in technology, research and development expenses as a percentage of revenues, due to increased headcount, higher server and cloud costs and investment in prediction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operational metrics for the International segment for the interim periods indicated.</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AMPs (Amounts in thousands)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4"/>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Total International AMPs </w:t>
            </w:r>
            <w:r>
              <w:rPr>
                <w:rFonts w:ascii="Times New Roman" w:cs="Times New Roman" w:eastAsia="Times New Roman" w:hAnsi="Times New Roman"/>
                <w:sz w:val="23"/>
                <w:szCs w:val="23"/>
                <w:b w:val="1"/>
                <w:bCs w:val="1"/>
                <w:color w:val="auto"/>
                <w:vertAlign w:val="superscript"/>
              </w:rPr>
              <w:t>1</w:t>
            </w:r>
          </w:p>
        </w:tc>
        <w:tc>
          <w:tcPr>
            <w:tcW w:w="2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10,109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11,740</w:t>
            </w:r>
          </w:p>
        </w:tc>
      </w:tr>
      <w:tr>
        <w:trPr>
          <w:trHeight w:val="27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International AMPs by Product Category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Sportsbook</w:t>
            </w:r>
          </w:p>
        </w:tc>
        <w:tc>
          <w:tcPr>
            <w:tcW w:w="2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5,713</w:t>
            </w:r>
          </w:p>
        </w:tc>
      </w:tr>
      <w:tr>
        <w:trPr>
          <w:trHeight w:val="263"/>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iGaming</w:t>
            </w:r>
          </w:p>
        </w:tc>
        <w:tc>
          <w:tcPr>
            <w:tcW w:w="220" w:type="dxa"/>
            <w:vAlign w:val="bottom"/>
          </w:tcPr>
          <w:p>
            <w:pPr>
              <w:spacing w:after="0"/>
              <w:rPr>
                <w:sz w:val="22"/>
                <w:szCs w:val="22"/>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7,084</w:t>
            </w:r>
          </w:p>
        </w:tc>
      </w:tr>
      <w:tr>
        <w:trPr>
          <w:trHeight w:val="277"/>
        </w:trPr>
        <w:tc>
          <w:tcPr>
            <w:tcW w:w="7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1,152</w:t>
            </w:r>
          </w:p>
        </w:tc>
      </w:tr>
      <w:tr>
        <w:trPr>
          <w:trHeight w:val="26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Stakes (</w:t>
            </w:r>
            <w:r>
              <w:rPr>
                <w:rFonts w:ascii="Times New Roman" w:cs="Times New Roman" w:eastAsia="Times New Roman" w:hAnsi="Times New Roman"/>
                <w:sz w:val="18"/>
                <w:szCs w:val="18"/>
                <w:i w:val="1"/>
                <w:iCs w:val="1"/>
                <w:color w:val="auto"/>
              </w:rPr>
              <w:t>amounts in $ millions</w:t>
            </w: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26,624</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22,784</w:t>
            </w:r>
          </w:p>
        </w:tc>
      </w:tr>
      <w:tr>
        <w:trPr>
          <w:trHeight w:val="27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Sportsbook net revenue margin</w:t>
            </w:r>
          </w:p>
        </w:tc>
        <w:tc>
          <w:tcPr>
            <w:tcW w:w="2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193" w:lineRule="exact"/>
        <w:rPr>
          <w:sz w:val="20"/>
          <w:szCs w:val="20"/>
          <w:color w:val="auto"/>
        </w:rPr>
      </w:pPr>
    </w:p>
    <w:p>
      <w:pPr>
        <w:ind w:left="440" w:right="100" w:hanging="432"/>
        <w:spacing w:after="0" w:line="265" w:lineRule="auto"/>
        <w:tabs>
          <w:tab w:leader="none" w:pos="431"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International AMPs is not a sum total of the AMPs for each product category because in circumstances where a player uses multiple product categories within one brand, we are generally able to identify that it is the same player who is using multiple product categories and therefore count this player as only one AMP at the International segment level while also counting this player as one AMP for each separate product category that the player is using. As a result, the sum of the AMPs presented at the product category level presented above is greater than the total AMPs presented at the International segment level. AMPs presented above reflect a level of duplication that arises from individuals who use multiple brands or product offerings. See “Key Operational Metrics” above for additional information regarding how we calculate AMPs data, including a discussion regarding duplication of players that exists in such data.</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Adjusted EBITDA and Adjusted EBITDA margin for the International segment for the interim periods indicated.</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(Amounts in $ millions, except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08088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0885" cy="17145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p>
      <w:pPr>
        <w:spacing w:after="0" w:line="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Sportsbook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8088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0885" cy="171450"/>
                    </a:xfrm>
                    <a:prstGeom prst="rect">
                      <a:avLst/>
                    </a:prstGeom>
                    <a:noFill/>
                  </pic:spPr>
                </pic:pic>
              </a:graphicData>
            </a:graphic>
          </wp:anchor>
        </w:drawing>
      </w:r>
    </w:p>
    <w:p>
      <w:pPr>
        <w:spacing w:after="0" w:line="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iGaming</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080885"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0885" cy="18034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International revenue</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08088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0885" cy="17145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 margin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disaggregated revenue for the International segment:</w:t>
      </w:r>
    </w:p>
    <w:p>
      <w:pPr>
        <w:spacing w:after="0" w:line="200" w:lineRule="exact"/>
        <w:rPr>
          <w:sz w:val="20"/>
          <w:szCs w:val="20"/>
          <w:color w:val="auto"/>
        </w:rPr>
      </w:pP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27305</wp:posOffset>
            </wp:positionV>
            <wp:extent cx="502348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23485" cy="171450"/>
                    </a:xfrm>
                    <a:prstGeom prst="rect">
                      <a:avLst/>
                    </a:prstGeom>
                    <a:noFill/>
                  </pic:spPr>
                </pic:pic>
              </a:graphicData>
            </a:graphic>
          </wp:anchor>
        </w:drawing>
      </w:r>
    </w:p>
    <w:p>
      <w:pPr>
        <w:spacing w:after="0" w:line="4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 xml:space="preserve">UKI </w:t>
      </w:r>
      <w:r>
        <w:rPr>
          <w:rFonts w:ascii="Times New Roman" w:cs="Times New Roman" w:eastAsia="Times New Roman" w:hAnsi="Times New Roman"/>
          <w:sz w:val="23"/>
          <w:szCs w:val="23"/>
          <w:color w:val="auto"/>
          <w:vertAlign w:val="superscript"/>
        </w:rPr>
        <w:t>1</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 xml:space="preserve">Southern Europe and Africa </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-15240</wp:posOffset>
            </wp:positionV>
            <wp:extent cx="502348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023485" cy="171450"/>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color w:val="auto"/>
        </w:rPr>
        <w:t xml:space="preserve">Asia Pacific </w:t>
      </w:r>
      <w:r>
        <w:rPr>
          <w:rFonts w:ascii="Times New Roman" w:cs="Times New Roman" w:eastAsia="Times New Roman" w:hAnsi="Times New Roman"/>
          <w:sz w:val="23"/>
          <w:szCs w:val="23"/>
          <w:color w:val="auto"/>
          <w:vertAlign w:val="superscript"/>
        </w:rPr>
        <w:t>3</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 xml:space="preserve">Central and Eastern Europe </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-15240</wp:posOffset>
            </wp:positionV>
            <wp:extent cx="502348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23485" cy="171450"/>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color w:val="auto"/>
        </w:rPr>
        <w:t xml:space="preserve">Brazil </w:t>
      </w:r>
      <w:r>
        <w:rPr>
          <w:rFonts w:ascii="Times New Roman" w:cs="Times New Roman" w:eastAsia="Times New Roman" w:hAnsi="Times New Roman"/>
          <w:sz w:val="23"/>
          <w:szCs w:val="23"/>
          <w:color w:val="auto"/>
          <w:vertAlign w:val="superscript"/>
        </w:rPr>
        <w:t>5</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 xml:space="preserve">Other regions </w:t>
      </w:r>
      <w:r>
        <w:rPr>
          <w:rFonts w:ascii="Times New Roman" w:cs="Times New Roman" w:eastAsia="Times New Roman" w:hAnsi="Times New Roman"/>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-15240</wp:posOffset>
            </wp:positionV>
            <wp:extent cx="502348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023485" cy="171450"/>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8"/>
          <w:szCs w:val="18"/>
          <w:b w:val="1"/>
          <w:bCs w:val="1"/>
          <w:color w:val="auto"/>
        </w:rPr>
        <w:t>Total International segment revenue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19685</wp:posOffset>
            </wp:positionV>
            <wp:extent cx="2100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43" w:lineRule="exact"/>
        <w:rPr>
          <w:sz w:val="20"/>
          <w:szCs w:val="20"/>
          <w:color w:val="auto"/>
        </w:rPr>
      </w:pPr>
    </w:p>
    <w:tbl>
      <w:tblPr>
        <w:tblLayout w:type="fixed"/>
        <w:tblInd w:w="1320" w:type="dxa"/>
        <w:tblCellMar>
          <w:top w:w="0" w:type="dxa"/>
          <w:left w:w="0" w:type="dxa"/>
          <w:bottom w:w="0" w:type="dxa"/>
          <w:right w:w="0" w:type="dxa"/>
        </w:tblCellMar>
      </w:tblPr>
      <w:tr>
        <w:trPr>
          <w:trHeight w:val="238"/>
        </w:trPr>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506"/>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3,230</w:t>
            </w:r>
          </w:p>
        </w:tc>
        <w:tc>
          <w:tcPr>
            <w:tcW w:w="1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2,903</w:t>
            </w:r>
          </w:p>
        </w:tc>
      </w:tr>
      <w:tr>
        <w:trPr>
          <w:trHeight w:val="270"/>
        </w:trPr>
        <w:tc>
          <w:tcPr>
            <w:tcW w:w="360" w:type="dxa"/>
            <w:vAlign w:val="bottom"/>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3,687</w:t>
            </w:r>
          </w:p>
        </w:tc>
      </w:tr>
      <w:tr>
        <w:trPr>
          <w:trHeight w:val="277"/>
        </w:trPr>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231</w:t>
            </w:r>
          </w:p>
        </w:tc>
      </w:tr>
      <w:tr>
        <w:trPr>
          <w:trHeight w:val="263"/>
        </w:trPr>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7,603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6,821</w:t>
            </w:r>
          </w:p>
        </w:tc>
      </w:tr>
      <w:tr>
        <w:trPr>
          <w:trHeight w:val="25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1,614</w:t>
            </w:r>
          </w:p>
        </w:tc>
      </w:tr>
      <w:tr>
        <w:trPr>
          <w:trHeight w:val="270"/>
        </w:trPr>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r>
    </w:tbl>
    <w:p>
      <w:pPr>
        <w:spacing w:after="0" w:line="200" w:lineRule="exact"/>
        <w:rPr>
          <w:sz w:val="20"/>
          <w:szCs w:val="20"/>
          <w:color w:val="auto"/>
        </w:rPr>
      </w:pPr>
    </w:p>
    <w:p>
      <w:pPr>
        <w:spacing w:after="0" w:line="372" w:lineRule="exact"/>
        <w:rPr>
          <w:sz w:val="20"/>
          <w:szCs w:val="20"/>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19373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43" w:lineRule="exact"/>
        <w:rPr>
          <w:sz w:val="20"/>
          <w:szCs w:val="20"/>
          <w:color w:val="auto"/>
        </w:rPr>
      </w:pPr>
    </w:p>
    <w:p>
      <w:pPr>
        <w:ind w:left="560"/>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2026</w:t>
      </w:r>
      <w:r>
        <w:rPr>
          <w:sz w:val="20"/>
          <w:szCs w:val="20"/>
          <w:color w:val="auto"/>
        </w:rPr>
        <w:tab/>
      </w:r>
      <w:r>
        <w:rPr>
          <w:rFonts w:ascii="Times New Roman" w:cs="Times New Roman" w:eastAsia="Times New Roman" w:hAnsi="Times New Roman"/>
          <w:sz w:val="18"/>
          <w:szCs w:val="18"/>
          <w:b w:val="1"/>
          <w:bCs w:val="1"/>
          <w:color w:val="auto"/>
        </w:rPr>
        <w:t>2025</w:t>
      </w:r>
    </w:p>
    <w:p>
      <w:pPr>
        <w:spacing w:after="0" w:line="81" w:lineRule="exact"/>
        <w:rPr>
          <w:sz w:val="20"/>
          <w:szCs w:val="20"/>
          <w:color w:val="auto"/>
        </w:rPr>
      </w:pPr>
    </w:p>
    <w:p>
      <w:pPr>
        <w:spacing w:after="0"/>
        <w:tabs>
          <w:tab w:leader="none" w:pos="1000" w:val="left"/>
          <w:tab w:leader="none" w:pos="1600" w:val="left"/>
          <w:tab w:leader="none" w:pos="2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2,760</w:t>
        <w:tab/>
        <w:t>$</w:t>
      </w:r>
      <w:r>
        <w:rPr>
          <w:sz w:val="20"/>
          <w:szCs w:val="20"/>
          <w:color w:val="auto"/>
        </w:rPr>
        <w:tab/>
      </w:r>
      <w:r>
        <w:rPr>
          <w:rFonts w:ascii="Times New Roman" w:cs="Times New Roman" w:eastAsia="Times New Roman" w:hAnsi="Times New Roman"/>
          <w:sz w:val="17"/>
          <w:szCs w:val="17"/>
          <w:color w:val="auto"/>
        </w:rPr>
        <w:t>2,671</w:t>
      </w:r>
    </w:p>
    <w:p>
      <w:pPr>
        <w:spacing w:after="0" w:line="63" w:lineRule="exact"/>
        <w:rPr>
          <w:sz w:val="20"/>
          <w:szCs w:val="20"/>
          <w:color w:val="auto"/>
        </w:rPr>
      </w:pPr>
    </w:p>
    <w:p>
      <w:pPr>
        <w:ind w:left="1020"/>
        <w:spacing w:after="0"/>
        <w:tabs>
          <w:tab w:leader="none" w:pos="2540" w:val="left"/>
        </w:tabs>
        <w:rPr>
          <w:sz w:val="20"/>
          <w:szCs w:val="20"/>
          <w:color w:val="auto"/>
        </w:rPr>
      </w:pPr>
      <w:r>
        <w:rPr>
          <w:rFonts w:ascii="Times New Roman" w:cs="Times New Roman" w:eastAsia="Times New Roman" w:hAnsi="Times New Roman"/>
          <w:sz w:val="18"/>
          <w:szCs w:val="18"/>
          <w:color w:val="auto"/>
        </w:rPr>
        <w:t>2,672</w:t>
      </w:r>
      <w:r>
        <w:rPr>
          <w:sz w:val="20"/>
          <w:szCs w:val="20"/>
          <w:color w:val="auto"/>
        </w:rPr>
        <w:tab/>
      </w:r>
      <w:r>
        <w:rPr>
          <w:rFonts w:ascii="Times New Roman" w:cs="Times New Roman" w:eastAsia="Times New Roman" w:hAnsi="Times New Roman"/>
          <w:sz w:val="18"/>
          <w:szCs w:val="18"/>
          <w:color w:val="auto"/>
        </w:rPr>
        <w:t>1,848</w:t>
      </w:r>
    </w:p>
    <w:p>
      <w:pPr>
        <w:spacing w:after="0" w:line="63" w:lineRule="exact"/>
        <w:rPr>
          <w:sz w:val="20"/>
          <w:szCs w:val="20"/>
          <w:color w:val="auto"/>
        </w:rPr>
      </w:pPr>
    </w:p>
    <w:p>
      <w:pPr>
        <w:ind w:left="1020"/>
        <w:spacing w:after="0"/>
        <w:tabs>
          <w:tab w:leader="none" w:pos="2540" w:val="left"/>
        </w:tabs>
        <w:rPr>
          <w:sz w:val="20"/>
          <w:szCs w:val="20"/>
          <w:color w:val="auto"/>
        </w:rPr>
      </w:pPr>
      <w:r>
        <w:rPr>
          <w:rFonts w:ascii="Times New Roman" w:cs="Times New Roman" w:eastAsia="Times New Roman" w:hAnsi="Times New Roman"/>
          <w:sz w:val="18"/>
          <w:szCs w:val="18"/>
          <w:color w:val="auto"/>
        </w:rPr>
        <w:t>1,052</w:t>
      </w:r>
      <w:r>
        <w:rPr>
          <w:sz w:val="20"/>
          <w:szCs w:val="20"/>
          <w:color w:val="auto"/>
        </w:rPr>
        <w:tab/>
      </w:r>
      <w:r>
        <w:rPr>
          <w:rFonts w:ascii="Times New Roman" w:cs="Times New Roman" w:eastAsia="Times New Roman" w:hAnsi="Times New Roman"/>
          <w:sz w:val="18"/>
          <w:szCs w:val="18"/>
          <w:color w:val="auto"/>
        </w:rPr>
        <w:t>1,078</w:t>
      </w:r>
    </w:p>
    <w:p>
      <w:pPr>
        <w:spacing w:after="0" w:line="63" w:lineRule="exact"/>
        <w:rPr>
          <w:sz w:val="20"/>
          <w:szCs w:val="20"/>
          <w:color w:val="auto"/>
        </w:rPr>
      </w:pPr>
    </w:p>
    <w:p>
      <w:pPr>
        <w:ind w:left="1160"/>
        <w:spacing w:after="0"/>
        <w:tabs>
          <w:tab w:leader="none" w:pos="2680" w:val="left"/>
        </w:tabs>
        <w:rPr>
          <w:sz w:val="20"/>
          <w:szCs w:val="20"/>
          <w:color w:val="auto"/>
        </w:rPr>
      </w:pPr>
      <w:r>
        <w:rPr>
          <w:rFonts w:ascii="Times New Roman" w:cs="Times New Roman" w:eastAsia="Times New Roman" w:hAnsi="Times New Roman"/>
          <w:sz w:val="18"/>
          <w:szCs w:val="18"/>
          <w:color w:val="auto"/>
        </w:rPr>
        <w:t>496</w:t>
      </w:r>
      <w:r>
        <w:rPr>
          <w:sz w:val="20"/>
          <w:szCs w:val="20"/>
          <w:color w:val="auto"/>
        </w:rPr>
        <w:tab/>
      </w:r>
      <w:r>
        <w:rPr>
          <w:rFonts w:ascii="Times New Roman" w:cs="Times New Roman" w:eastAsia="Times New Roman" w:hAnsi="Times New Roman"/>
          <w:sz w:val="18"/>
          <w:szCs w:val="18"/>
          <w:color w:val="auto"/>
        </w:rPr>
        <w:t>429</w:t>
      </w:r>
    </w:p>
    <w:p>
      <w:pPr>
        <w:spacing w:after="0" w:line="63" w:lineRule="exact"/>
        <w:rPr>
          <w:sz w:val="20"/>
          <w:szCs w:val="20"/>
          <w:color w:val="auto"/>
        </w:rPr>
      </w:pPr>
    </w:p>
    <w:p>
      <w:pPr>
        <w:ind w:left="1160"/>
        <w:spacing w:after="0"/>
        <w:tabs>
          <w:tab w:leader="none" w:pos="268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8"/>
          <w:szCs w:val="18"/>
          <w:color w:val="auto"/>
        </w:rPr>
        <w:t>140</w:t>
      </w:r>
    </w:p>
    <w:p>
      <w:pPr>
        <w:spacing w:after="0" w:line="63" w:lineRule="exact"/>
        <w:rPr>
          <w:sz w:val="20"/>
          <w:szCs w:val="20"/>
          <w:color w:val="auto"/>
        </w:rPr>
      </w:pPr>
    </w:p>
    <w:p>
      <w:pPr>
        <w:ind w:left="1160"/>
        <w:spacing w:after="0"/>
        <w:tabs>
          <w:tab w:leader="none" w:pos="268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color w:val="auto"/>
        </w:rPr>
        <w:t>655</w:t>
      </w:r>
    </w:p>
    <w:p>
      <w:pPr>
        <w:spacing w:after="0" w:line="59" w:lineRule="exact"/>
        <w:rPr>
          <w:sz w:val="20"/>
          <w:szCs w:val="20"/>
          <w:color w:val="auto"/>
        </w:rPr>
      </w:pPr>
    </w:p>
    <w:p>
      <w:pPr>
        <w:spacing w:after="0"/>
        <w:tabs>
          <w:tab w:leader="none" w:pos="1000" w:val="left"/>
          <w:tab w:leader="none" w:pos="1600" w:val="left"/>
          <w:tab w:leader="none" w:pos="25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7,603</w:t>
        <w:tab/>
        <w:t>$</w:t>
      </w:r>
      <w:r>
        <w:rPr>
          <w:sz w:val="20"/>
          <w:szCs w:val="20"/>
          <w:color w:val="auto"/>
        </w:rPr>
        <w:tab/>
      </w:r>
      <w:r>
        <w:rPr>
          <w:rFonts w:ascii="Times New Roman" w:cs="Times New Roman" w:eastAsia="Times New Roman" w:hAnsi="Times New Roman"/>
          <w:sz w:val="17"/>
          <w:szCs w:val="17"/>
          <w:b w:val="1"/>
          <w:bCs w:val="1"/>
          <w:color w:val="auto"/>
        </w:rPr>
        <w:t>6,821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wp:posOffset>
            </wp:positionV>
            <wp:extent cx="19373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5900" w:space="640"/>
            <w:col w:w="4660"/>
          </w:cols>
          <w:pgMar w:left="320" w:top="117" w:right="379" w:bottom="1440" w:gutter="0" w:footer="0" w:header="0"/>
          <w:type w:val="continuous"/>
        </w:sectPr>
      </w:pPr>
    </w:p>
    <w:p>
      <w:pPr>
        <w:spacing w:after="0" w:line="109"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UKI represents Sky Betting &amp; Gaming, Paddy Power and Betfair UK and Ireland operations as well as the tombola brand.</w:t>
      </w:r>
    </w:p>
    <w:p>
      <w:pPr>
        <w:spacing w:after="0" w:line="27" w:lineRule="exact"/>
        <w:rPr>
          <w:rFonts w:ascii="Times New Roman" w:cs="Times New Roman" w:eastAsia="Times New Roman" w:hAnsi="Times New Roman"/>
          <w:sz w:val="14"/>
          <w:szCs w:val="14"/>
          <w:color w:val="auto"/>
        </w:rPr>
      </w:pPr>
    </w:p>
    <w:p>
      <w:pPr>
        <w:ind w:left="340" w:right="220" w:hanging="332"/>
        <w:spacing w:after="0" w:line="243" w:lineRule="auto"/>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Southern Europe and Africa comprises the Italian operations of our Sisal, Snai (effective from the acquisition date of April 30, 2025) and PokerStars brands as well as Sisal’s business in Türkiye and Morocco and PokerStars’ Southern European operations (beginning January 1, 2026).</w:t>
      </w:r>
    </w:p>
    <w:p>
      <w:pPr>
        <w:spacing w:after="0" w:line="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Asia Pacific includes our Sportsbet business in Australia and Junglee in India (until August 22, 2025).</w:t>
      </w:r>
    </w:p>
    <w:p>
      <w:pPr>
        <w:spacing w:after="0" w:line="1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Central and Eastern Europe comprises Adjarabet in Georgia and Armenia together with MaxBet in Serbia, Bosnia and Herzegovina, North Macedonia and Montenegro.</w:t>
      </w:r>
    </w:p>
    <w:p>
      <w:pPr>
        <w:spacing w:after="0" w:line="14" w:lineRule="exact"/>
        <w:rPr>
          <w:rFonts w:ascii="Times New Roman" w:cs="Times New Roman" w:eastAsia="Times New Roman" w:hAnsi="Times New Roman"/>
          <w:sz w:val="14"/>
          <w:szCs w:val="14"/>
          <w:color w:val="auto"/>
        </w:rPr>
      </w:pPr>
    </w:p>
    <w:p>
      <w:pPr>
        <w:ind w:left="340" w:hanging="332"/>
        <w:spacing w:after="0" w:line="254" w:lineRule="auto"/>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Brazil reflects our Betfair and Betnacional (effective from the acquisition date of May 14, 2025) operations in the region. Following the Measure announced on September 25, 2026 banning fixed-odds sports betting and online gaming, our operations in Brazil are currently ceased. In October 2026, we have restructured our business to focus on Betnacional as our sole brand in Brazil, closing our Betfair Brazil operation.</w:t>
      </w:r>
    </w:p>
    <w:p>
      <w:pPr>
        <w:spacing w:after="0" w:line="1" w:lineRule="exact"/>
        <w:rPr>
          <w:rFonts w:ascii="Times New Roman" w:cs="Times New Roman" w:eastAsia="Times New Roman" w:hAnsi="Times New Roman"/>
          <w:sz w:val="14"/>
          <w:szCs w:val="14"/>
          <w:color w:val="auto"/>
        </w:rPr>
      </w:pPr>
    </w:p>
    <w:p>
      <w:pPr>
        <w:ind w:left="340" w:right="80" w:hanging="332"/>
        <w:spacing w:after="0" w:line="283" w:lineRule="auto"/>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regions comprise PokerStars’ non-Italian and Southern European operations (beginning January 1, 2026, PokerStars Southern Europe operations formed part of the Southern Europe and Africa region, and beginning April 1, 2026, PokerStars’ North America operations formed part of the U.S. region, respectively) and Betfair’s International business excluding Betfair Brazil.</w:t>
      </w:r>
    </w:p>
    <w:p>
      <w:pPr>
        <w:spacing w:after="0" w:line="23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International segment revenue increased 11%, to $7,603 million for the nine months ended September 30, 2026 from $6,821 million for the nine months ended September 30, 2025, reflecting a 7% increase from the Snai and NSX acquisitions and 4% from favorable changes in foreign currency exchange rates. AMPs decreased by 14% period over period driven by the cessation of operations in India during 2025.</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Sportsbook revenue increased 11%, to $3,230 million for the nine months ended September 30, 2026 from $2,903 million for the nine months ended September 30, 2025, driven by the Snai and NSX acquisitions, which contributed 8% to the increase, and favorable changes in foreign currency exchange rates, which contributed 5% growth. These factors were partially offset by a 2% decrease from lower UKI sportsbook revenue, primarily driven by adverse sports results. Sportsbook stakes grew 17% period over period, including 9% growth from Snai and NSX.</w:t>
      </w:r>
    </w:p>
    <w:p>
      <w:pPr>
        <w:spacing w:after="0" w:line="7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Sportsbook net revenue margin decreased by 60 basis points period over period to 12.1%, primarily reflecting an 80 basis points adverse impact from unfavorable sports results compared with favorable sports results in the prior period (nine months ended September 30, 2026: 70 basis points unfavorable, nine months ended September 30, 2025: 10 basis points favorable) and 10 basis points decrease in structural revenue margin due to lower-margin regions including SEA, CEE and Brazil forming a higher proportion of the sportsbook revenue mix. These impacts were partially offset by a 30 basis points reduction in promotional spend to 3.6% of stakes with increased FIFA World Cup investment offset by promotional spend efficiencies.</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iGaming revenue increased 12%, to $4,123 million for the nine months ended September 30, 2026 from $3,687 million for the nine months ended September 30, 2025, driven by the Snai and NSX acquisitions, which contributed 7% growth, and growth in Sisal, UKI and CEE, partially offset by the cessation of operations in India and the migration of PokerStars North America to the U.S. segment. Favorable changes in foreign currency exchange rates contributed a further 2% growth.</w:t>
      </w:r>
    </w:p>
    <w:p>
      <w:pPr>
        <w:spacing w:after="0" w:line="72"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Other revenue for the nine months ended September 30, 2026 increased 8% period over period, primarily driven by Betfair exchange revenue growth from the Indian Premier League and the Women’s T20 World Cup. Favorable changes in foreign currency exchange rates contributed revenue growth of 3%.</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regional basis:</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UKI revenue increased 3% period over period driven by a 3% favorable change in foreign exchange rates. Sportsbook revenue decreased 6%, as a 150 basis points decrease in net revenue margin resulting from adverse sports results more than offset a 2% growth in stakes and a 3% favorable change in foreign currency exchange rates impact. iGaming revenue increased 11%, primarily driven by 17% growth in AMPs due to improved cross selling during the FIFA World Cup and new exclusive content releases, as well as a 2% favorable change in foreign currency exchange rates.</w:t>
      </w:r>
    </w:p>
    <w:p>
      <w:pPr>
        <w:spacing w:after="0" w:line="72"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SEA revenue increased 45% period over period, driven by the Snai acquisition that contributed 24% revenue growth, the transfer of PokerStars' Southern European customers to SEA from Other regions in the first quarter of 2026 that contributed revenue growth of 6%, and favorable change in foreign currency exchange rates that contributed revenue growth of 3%. Sportsbook revenue increased 46% primarily reflecting the Snai acquisition which contributed an increase in revenue of 33%, and continued growth in Sisal, partially offset by lower net revenue margin driven primarily by unfavorable sports results; favorable change in foreign currency exchange rates contributed growth of 3%. iGaming revenue increased 44% driven by the Snai acquisition that contributed 19% revenue growth, growth in Sisal Italy, expanded product offerings in Türkiye, and the transfer of PokerStars’ Southern European customers to SEA from Other regions, which contributed 9% growth; favorable change in foreign currency exchange rates contributed revenue growth of 3%.</w:t>
      </w:r>
    </w:p>
    <w:p>
      <w:pPr>
        <w:spacing w:after="0" w:line="84"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APAC revenue decreased by 2% period over period. Sportsbook revenue in Australia was 9% higher, primarily driven by a favorable change in foreign currency exchange rates of 8%. iGaming revenue declined in India by 100% period over period, reflecting the prohibition of real-money gaming and subsequent cessation of our Indian operations in August 2025.</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CEE revenue increased 16% period over period. iGaming revenue increased 14%, primarily driven by product improvements and market share gains in Serbia, Georgia and Armenia. Sportsbook revenue increased 25%, reflecting an 18% increase in stakes and a 60 basis points increase in net revenue margin from more efficient deployment of promotional spend. Favorable change in foreign currency exchange rates contributed 3% revenue growth.</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Brazil revenue increased 47% period over period, driven by NSX, while Betfair Brazil was largely flat. Favorable change in foreign currency exchange rates contributed 8% growth. We ceased to operate sports betting and iGaming in Brazil at the end of September in accordance with the implementation of a provisional measure announced on September 25, 2026. See “Business Environment” for further details.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Other regions revenue decreased by 36% period over period, primarily due to a 21% decrease as a result of the transfer of PokerStars' Southern European customers to SEA and North American customers to the U.S. segment, and continued declines in activity on the PokerStars global platform.</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Adjusted EBITDA for International was $1,498 million for the nine months ended September 30, 2026, a 7% decrease from $1,614 million for the nine months ended September 30, 2025, and Adjusted EBITDA margin decreased by 400 basis points to 19.7% for the nine months ended September 30, 2026. The acquisitions of Snai and NSX contributed to an increase in Adjusted EBITDA of $48 million and a decrease in Adjusted EBITDA margin of 40 basis points.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overall decrease in Adjusted EBITDA margin was primarily driven by an increase in cost of sales as a percentage of revenue of 500 basis points from 46.2% for the nine months ended September 30, 2025, to 51.2% for the nine months ended September 30, 2026, due to an increase of remote gaming tax in UK and the acquisition of Snai which has higher cost of sales as a percentage of revenue. These were partially offset by a 100 basis points decrease in general and administrative expenses as a percentage of revenues driven by savings from the UKI and PokerStars transformation programs and the cessation of operations in India.</w:t>
      </w: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Non-GAAP Measures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Adjusted EBITDA is defined on a Group basis as income (loss) before income taxes; other (expense) income, net; interest expense, net; depreciation and amortization; transaction fees and associated costs; restructuring and integration costs; legal (settlements) loss contingencies; gaming tax disputes; impairment of property and equipment, intangible assets, right-of-use assets and goodwill; and share-based compensation charge. Adjusted EBITDA Margin is Adjusted EBITDA as a percentage of revenue.</w:t>
      </w:r>
    </w:p>
    <w:p>
      <w:pPr>
        <w:spacing w:after="0" w:line="7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Adjusted EBITDA and Adjusted EBITDA Margin are non-GAAP measures and should not be viewed as measures of overall operating performance, indicators of our performance, considered in isolation, or construed as alternatives to operating profit or net income (loss) measures, or as alternatives to cash flows from operating activities, as measures of liquidity, or as alternatives to any other measure determined in accordance with GAAP.</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non-GAAP measures are presented solely as supplemental disclosures to reported GAAP measures because we believe that this non-GAAP supplemental information will be helpful in understanding our ongoing operating results and these measures are widely used by analysts, lenders, financial institutions, and investors as measures of performance. Management has historically used Adjusted EBITDA and Adjusted EBITDA Margin when evaluating operating performance because we believe that they provide additional perspective on the financial performance of our core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presenting Adjusted EBITDA and Adjusted EBITDA Margin, the Group excludes certain items as explained below:</w:t>
      </w:r>
    </w:p>
    <w:p>
      <w:pPr>
        <w:spacing w:after="0" w:line="117" w:lineRule="exact"/>
        <w:rPr>
          <w:sz w:val="20"/>
          <w:szCs w:val="20"/>
          <w:color w:val="auto"/>
        </w:rPr>
      </w:pPr>
    </w:p>
    <w:p>
      <w:pPr>
        <w:ind w:left="980" w:right="60" w:hanging="389"/>
        <w:spacing w:after="0" w:line="258" w:lineRule="auto"/>
        <w:tabs>
          <w:tab w:leader="none" w:pos="9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fees and associated costs and restructuring and integration costs, which include charges for discrete projects or transactions that significantly change our operations, are excluded because they are not part of the ongoing operations of our business, which includes normal levels of reinvestment in the business.</w:t>
      </w:r>
    </w:p>
    <w:p>
      <w:pPr>
        <w:spacing w:after="0" w:line="61" w:lineRule="exact"/>
        <w:rPr>
          <w:rFonts w:ascii="Times New Roman" w:cs="Times New Roman" w:eastAsia="Times New Roman" w:hAnsi="Times New Roman"/>
          <w:sz w:val="18"/>
          <w:szCs w:val="18"/>
          <w:color w:val="auto"/>
        </w:rPr>
      </w:pPr>
    </w:p>
    <w:p>
      <w:pPr>
        <w:ind w:left="980" w:right="40" w:hanging="389"/>
        <w:spacing w:after="0" w:line="258" w:lineRule="auto"/>
        <w:tabs>
          <w:tab w:leader="none" w:pos="9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(settlements)/loss contingencies and gaming tax disputes, which include charges for specific investigations and litigation, are excluded due to the difficulty in predicting their timing and scope and because they are considered by management to be outside the normal course of business.</w:t>
      </w:r>
    </w:p>
    <w:p>
      <w:pPr>
        <w:spacing w:after="0" w:line="61" w:lineRule="exact"/>
        <w:rPr>
          <w:rFonts w:ascii="Times New Roman" w:cs="Times New Roman" w:eastAsia="Times New Roman" w:hAnsi="Times New Roman"/>
          <w:sz w:val="18"/>
          <w:szCs w:val="18"/>
          <w:color w:val="auto"/>
        </w:rPr>
      </w:pPr>
    </w:p>
    <w:p>
      <w:pPr>
        <w:ind w:left="980" w:hanging="389"/>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income, net is excluded because it is not indicative of our core operating performance.</w:t>
      </w:r>
    </w:p>
    <w:p>
      <w:pPr>
        <w:spacing w:after="0" w:line="103" w:lineRule="exact"/>
        <w:rPr>
          <w:rFonts w:ascii="Times New Roman" w:cs="Times New Roman" w:eastAsia="Times New Roman" w:hAnsi="Times New Roman"/>
          <w:sz w:val="18"/>
          <w:szCs w:val="18"/>
          <w:color w:val="auto"/>
        </w:rPr>
      </w:pPr>
    </w:p>
    <w:p>
      <w:pPr>
        <w:ind w:left="980" w:right="220" w:hanging="389"/>
        <w:spacing w:after="0" w:line="258" w:lineRule="auto"/>
        <w:tabs>
          <w:tab w:leader="none" w:pos="9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property and equipment, intangible assets, right-of-use assets and goodwill, which may arise from time to time that would impact comparability. We do not consider impairment when evaluating the Company’s performance, when making decisions regarding the allocation of resources, in determining incentive compensation, or in determining earnings estimates.</w:t>
      </w:r>
    </w:p>
    <w:p>
      <w:pPr>
        <w:spacing w:after="0" w:line="61" w:lineRule="exact"/>
        <w:rPr>
          <w:rFonts w:ascii="Times New Roman" w:cs="Times New Roman" w:eastAsia="Times New Roman" w:hAnsi="Times New Roman"/>
          <w:sz w:val="18"/>
          <w:szCs w:val="18"/>
          <w:color w:val="auto"/>
        </w:rPr>
      </w:pPr>
    </w:p>
    <w:p>
      <w:pPr>
        <w:ind w:left="980" w:right="540" w:hanging="389"/>
        <w:spacing w:after="0" w:line="282" w:lineRule="auto"/>
        <w:tabs>
          <w:tab w:leader="none" w:pos="9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expense is excluded as this could vary widely among companies due to different plans in place resulting in companies using share-based compensation awards differently, both in type and quantity of awards granted.</w:t>
      </w:r>
    </w:p>
    <w:p>
      <w:pPr>
        <w:spacing w:after="0" w:line="14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Adjusted EBITDA and Adjusted EBITDA Margin are not measures of performance or liquidity calculated in accordance with GAAP. They are unaudited and should not be considered as alternatives to, or more meaningful than, net income (loss) as indicators of our operating performance. In addition, other companies in the betting and gaming industry that report Adjusted EBITDA may calculate Adjusted EBITDA in a different manner and such differences may be material. The definition of Adjusted EBITDA and Adjusted EBITDA Margin may not be the same as the definitions used in any of our debt agreements.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and Adjusted EBITDA Margin have further limitations as an analytical tool. Some of these limitations are:</w:t>
      </w:r>
    </w:p>
    <w:p>
      <w:pPr>
        <w:spacing w:after="0" w:line="117" w:lineRule="exact"/>
        <w:rPr>
          <w:sz w:val="20"/>
          <w:szCs w:val="20"/>
          <w:color w:val="auto"/>
        </w:rPr>
      </w:pPr>
    </w:p>
    <w:p>
      <w:pPr>
        <w:ind w:left="980" w:hanging="38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the Group’s cash expenditures or future requirements for capital expenditure or contractual commitments;</w:t>
      </w:r>
    </w:p>
    <w:p>
      <w:pPr>
        <w:spacing w:after="0" w:line="103" w:lineRule="exact"/>
        <w:rPr>
          <w:rFonts w:ascii="Times New Roman" w:cs="Times New Roman" w:eastAsia="Times New Roman" w:hAnsi="Times New Roman"/>
          <w:sz w:val="18"/>
          <w:szCs w:val="18"/>
          <w:color w:val="auto"/>
        </w:rPr>
      </w:pPr>
    </w:p>
    <w:p>
      <w:pPr>
        <w:ind w:left="980" w:hanging="38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changes in, or cash requirements for, the Group’s working capital needs;</w:t>
      </w:r>
    </w:p>
    <w:p>
      <w:pPr>
        <w:spacing w:after="0" w:line="117" w:lineRule="exact"/>
        <w:rPr>
          <w:rFonts w:ascii="Times New Roman" w:cs="Times New Roman" w:eastAsia="Times New Roman" w:hAnsi="Times New Roman"/>
          <w:sz w:val="18"/>
          <w:szCs w:val="18"/>
          <w:color w:val="auto"/>
        </w:rPr>
      </w:pPr>
    </w:p>
    <w:p>
      <w:pPr>
        <w:ind w:left="980" w:hanging="38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interest expense, or the cash requirements necessary to service interest or principal payments, on the Group’s debt;</w:t>
      </w:r>
    </w:p>
    <w:p>
      <w:pPr>
        <w:spacing w:after="0" w:line="103" w:lineRule="exact"/>
        <w:rPr>
          <w:rFonts w:ascii="Times New Roman" w:cs="Times New Roman" w:eastAsia="Times New Roman" w:hAnsi="Times New Roman"/>
          <w:sz w:val="18"/>
          <w:szCs w:val="18"/>
          <w:color w:val="auto"/>
        </w:rPr>
      </w:pPr>
    </w:p>
    <w:p>
      <w:pPr>
        <w:ind w:left="980" w:hanging="38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do not reflect share-based compensation expense, which is primarily a non-cash charge that is part of our employee compensation;</w:t>
      </w:r>
    </w:p>
    <w:p>
      <w:pPr>
        <w:spacing w:after="0" w:line="103" w:lineRule="exact"/>
        <w:rPr>
          <w:rFonts w:ascii="Times New Roman" w:cs="Times New Roman" w:eastAsia="Times New Roman" w:hAnsi="Times New Roman"/>
          <w:sz w:val="18"/>
          <w:szCs w:val="18"/>
          <w:color w:val="auto"/>
        </w:rPr>
      </w:pPr>
    </w:p>
    <w:p>
      <w:pPr>
        <w:ind w:left="980" w:right="20" w:hanging="389"/>
        <w:spacing w:after="0" w:line="282" w:lineRule="auto"/>
        <w:tabs>
          <w:tab w:leader="none" w:pos="97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Adjusted EBITDA does not reflect any cash requirements for such replacements;</w:t>
      </w:r>
    </w:p>
    <w:p>
      <w:pPr>
        <w:spacing w:after="0" w:line="40" w:lineRule="exact"/>
        <w:rPr>
          <w:rFonts w:ascii="Times New Roman" w:cs="Times New Roman" w:eastAsia="Times New Roman" w:hAnsi="Times New Roman"/>
          <w:sz w:val="18"/>
          <w:szCs w:val="18"/>
          <w:color w:val="auto"/>
        </w:rPr>
      </w:pPr>
    </w:p>
    <w:p>
      <w:pPr>
        <w:ind w:left="980" w:hanging="389"/>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not adjusted for all non-cash income or expense items that are reflected in the Group’s statements of cash flows;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980" w:right="120" w:hanging="389"/>
        <w:spacing w:after="0" w:line="266" w:lineRule="auto"/>
        <w:tabs>
          <w:tab w:leader="none" w:pos="9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further adjustments made in calculating Adjusted EBITDA are those that management consider not to be representative of the underlying operations of the Group and therefore are subjective in nature.</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income, the most comparable GAAP financial measure, to Adjusted EBITDA and Adjusted EBITDA Margin for the fiscal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32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33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7"/>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(Amounts in $ millions, except percentages)</w:t>
            </w:r>
          </w:p>
        </w:tc>
        <w:tc>
          <w:tcPr>
            <w:tcW w:w="15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Borders>
              <w:top w:val="single" w:sz="8" w:color="auto"/>
              <w:bottom w:val="single" w:sz="8" w:color="CCEEFF"/>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(789)</w:t>
            </w:r>
          </w:p>
        </w:tc>
        <w:tc>
          <w:tcPr>
            <w:tcW w:w="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(1,235)</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(417)</w:t>
            </w: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w:t>
            </w: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7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w:t>
            </w: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2"/>
                <w:szCs w:val="22"/>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2"/>
                <w:szCs w:val="22"/>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(425)</w:t>
            </w:r>
          </w:p>
        </w:tc>
        <w:tc>
          <w:tcPr>
            <w:tcW w:w="160" w:type="dxa"/>
            <w:vAlign w:val="bottom"/>
          </w:tcPr>
          <w:p>
            <w:pPr>
              <w:spacing w:after="0"/>
              <w:rPr>
                <w:sz w:val="22"/>
                <w:szCs w:val="22"/>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(294)</w:t>
            </w:r>
          </w:p>
        </w:tc>
      </w:tr>
      <w:tr>
        <w:trPr>
          <w:trHeight w:val="27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477</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w:t>
            </w:r>
          </w:p>
        </w:tc>
      </w:tr>
      <w:tr>
        <w:trPr>
          <w:trHeight w:val="26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Pr>
          <w:p>
            <w:pPr>
              <w:spacing w:after="0"/>
              <w:rPr>
                <w:sz w:val="22"/>
                <w:szCs w:val="22"/>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tcPr>
          <w:p>
            <w:pPr>
              <w:spacing w:after="0"/>
              <w:rPr>
                <w:sz w:val="22"/>
                <w:szCs w:val="22"/>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Pr>
          <w:p>
            <w:pPr>
              <w:spacing w:after="0"/>
              <w:rPr>
                <w:sz w:val="22"/>
                <w:szCs w:val="22"/>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1,082</w:t>
            </w:r>
          </w:p>
        </w:tc>
      </w:tr>
      <w:tr>
        <w:trPr>
          <w:trHeight w:val="27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Transaction fees and associated costs </w:t>
            </w:r>
            <w:r>
              <w:rPr>
                <w:rFonts w:ascii="Times New Roman" w:cs="Times New Roman" w:eastAsia="Times New Roman" w:hAnsi="Times New Roman"/>
                <w:sz w:val="23"/>
                <w:szCs w:val="23"/>
                <w:color w:val="auto"/>
                <w:vertAlign w:val="superscript"/>
              </w:rPr>
              <w:t>1</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3"/>
                <w:szCs w:val="23"/>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Pr>
          <w:p>
            <w:pPr>
              <w:spacing w:after="0"/>
              <w:rPr>
                <w:sz w:val="23"/>
                <w:szCs w:val="23"/>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3"/>
                <w:szCs w:val="23"/>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224</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Restructuring and integration costs </w:t>
            </w:r>
            <w:r>
              <w:rPr>
                <w:rFonts w:ascii="Times New Roman" w:cs="Times New Roman" w:eastAsia="Times New Roman" w:hAnsi="Times New Roman"/>
                <w:sz w:val="23"/>
                <w:szCs w:val="23"/>
                <w:color w:val="auto"/>
                <w:vertAlign w:val="superscript"/>
              </w:rPr>
              <w:t>2</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170</w:t>
            </w:r>
          </w:p>
        </w:tc>
      </w:tr>
      <w:tr>
        <w:trPr>
          <w:trHeight w:val="27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Legal loss contingencies </w:t>
            </w:r>
            <w:r>
              <w:rPr>
                <w:rFonts w:ascii="Times New Roman" w:cs="Times New Roman" w:eastAsia="Times New Roman" w:hAnsi="Times New Roman"/>
                <w:sz w:val="23"/>
                <w:szCs w:val="23"/>
                <w:color w:val="auto"/>
                <w:vertAlign w:val="superscript"/>
              </w:rPr>
              <w:t>3</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3"/>
                <w:szCs w:val="23"/>
                <w:color w:val="auto"/>
              </w:rPr>
            </w:pP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Impairment </w:t>
            </w:r>
            <w:r>
              <w:rPr>
                <w:rFonts w:ascii="Times New Roman" w:cs="Times New Roman" w:eastAsia="Times New Roman" w:hAnsi="Times New Roman"/>
                <w:sz w:val="23"/>
                <w:szCs w:val="23"/>
                <w:color w:val="auto"/>
                <w:vertAlign w:val="superscript"/>
              </w:rPr>
              <w:t>4</w:t>
            </w:r>
          </w:p>
        </w:tc>
        <w:tc>
          <w:tcPr>
            <w:tcW w:w="1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w:t>
            </w:r>
          </w:p>
        </w:tc>
        <w:tc>
          <w:tcPr>
            <w:tcW w:w="80" w:type="dxa"/>
            <w:vAlign w:val="bottom"/>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w:t>
            </w:r>
          </w:p>
        </w:tc>
      </w:tr>
    </w:tbl>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478</w:t>
            </w: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1,499</w:t>
            </w:r>
          </w:p>
        </w:tc>
        <w:tc>
          <w:tcPr>
            <w:tcW w:w="1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2,013</w:t>
            </w:r>
          </w:p>
        </w:tc>
      </w:tr>
      <w:tr>
        <w:trPr>
          <w:trHeight w:val="27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3,794</w:t>
            </w:r>
          </w:p>
        </w:tc>
        <w:tc>
          <w:tcPr>
            <w:tcW w:w="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12,504</w:t>
            </w:r>
          </w:p>
        </w:tc>
        <w:tc>
          <w:tcPr>
            <w:tcW w:w="16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11,646</w:t>
            </w:r>
          </w:p>
        </w:tc>
      </w:tr>
      <w:tr>
        <w:trPr>
          <w:trHeight w:val="256"/>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126" w:lineRule="exact"/>
        <w:rPr>
          <w:sz w:val="20"/>
          <w:szCs w:val="20"/>
          <w:color w:val="auto"/>
        </w:rPr>
      </w:pPr>
    </w:p>
    <w:p>
      <w:pPr>
        <w:ind w:left="660" w:right="100" w:hanging="328"/>
        <w:spacing w:after="0" w:line="281"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nine months ended September 30, 2026, transaction costs of $32 million primarily relate to the Group’s contribution to a super political action committee. During the three months ended September 30, 2025, transaction costs of $204 million primarily relate to the Boyd market access payment. During the nine months ended September 30, 2025, transaction costs of $224 million mainly relate to the Boyd market access payment and the Snai and NSX acquisitions.</w:t>
      </w:r>
    </w:p>
    <w:p>
      <w:pPr>
        <w:spacing w:after="0" w:line="15" w:lineRule="exact"/>
        <w:rPr>
          <w:rFonts w:ascii="Times New Roman" w:cs="Times New Roman" w:eastAsia="Times New Roman" w:hAnsi="Times New Roman"/>
          <w:sz w:val="14"/>
          <w:szCs w:val="14"/>
          <w:color w:val="auto"/>
        </w:rPr>
      </w:pPr>
    </w:p>
    <w:p>
      <w:pPr>
        <w:ind w:left="660" w:right="100" w:hanging="328"/>
        <w:spacing w:after="0" w:line="266"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2026, costs of $108 million and $254 million, respectively (three and nine months ended September 30, 2025: $59 million and $170 million, respectively) primarily relate to various restructuring, acquisition integration and other strategic initiatives to drive synergies. The programs are expected to run until 2029. These actions include efforts to consolidate and integrate our technology infrastructure, back-office functions and relocate certain operations to lower cost locations. It also includes business process re-engineering cost, planning and design of target operating models for the Group's enabling functions and discovery and planning related to the Group's anticipated migration to a new enterprise resource planning system. The costs primarily include severance expenses, advisory fees and temporary staffing costs.</w:t>
      </w:r>
    </w:p>
    <w:p>
      <w:pPr>
        <w:spacing w:after="0" w:line="25" w:lineRule="exact"/>
        <w:rPr>
          <w:rFonts w:ascii="Times New Roman" w:cs="Times New Roman" w:eastAsia="Times New Roman" w:hAnsi="Times New Roman"/>
          <w:sz w:val="14"/>
          <w:szCs w:val="14"/>
          <w:color w:val="auto"/>
        </w:rPr>
      </w:pPr>
    </w:p>
    <w:p>
      <w:pPr>
        <w:ind w:left="660" w:right="100" w:hanging="328"/>
        <w:spacing w:after="0" w:line="268"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months ended September 30, 2026, $105 million relates to a provision recognized to facilitate a potential resolution of the Fast Code Class Action, partially offset by an adjustment in connection with the Indian GST matter (three months ended September 30, 2025: Nil). During the nine months ended September 30, 2026, $200 million relates to provisions recognized in connection with (i) a historical U.S. sales and use tax matter, (ii) the Fast Code Class Action and (iii) the Indian GST matter (nine months ended September 30, 2025: Nil).</w:t>
      </w:r>
    </w:p>
    <w:p>
      <w:pPr>
        <w:spacing w:after="0" w:line="23" w:lineRule="exact"/>
        <w:rPr>
          <w:rFonts w:ascii="Times New Roman" w:cs="Times New Roman" w:eastAsia="Times New Roman" w:hAnsi="Times New Roman"/>
          <w:sz w:val="14"/>
          <w:szCs w:val="14"/>
          <w:color w:val="auto"/>
        </w:rPr>
      </w:pPr>
    </w:p>
    <w:p>
      <w:pPr>
        <w:ind w:left="660" w:right="20" w:hanging="328"/>
        <w:spacing w:after="0" w:line="265" w:lineRule="auto"/>
        <w:tabs>
          <w:tab w:leader="none" w:pos="6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2026, the Group recognized impairment charges of $873 million is related to Brazil within the International segment, due to the previously disclosed challenging trading environment driven by government implemented socio-economic measures together with the Measure announced on September 25, 2026 banning fixed-odds sports betting and online gaming. Out of the total impairment charge of $873 million, $296 million is related to long-lived assets and $541 million is related to goodwill. Long-lived asset impairment charges primarily included $122 million related to the trademark, $108 million related to customer relationships, $31 million related to technology, and $22 million related to capitalized development costs. Trademark and customer relationships impairment charges were recognized in sales and marketing expenses; technology and capitalized development costs in technology, research and development expenses; and license cost in cost of sales. The impairment charges related to property, plant and equipment and right-of-use assets were recognized in general and administrative expenses.</w:t>
      </w:r>
    </w:p>
    <w:p>
      <w:pPr>
        <w:spacing w:after="0" w:line="11" w:lineRule="exact"/>
        <w:rPr>
          <w:rFonts w:ascii="Times New Roman" w:cs="Times New Roman" w:eastAsia="Times New Roman" w:hAnsi="Times New Roman"/>
          <w:sz w:val="14"/>
          <w:szCs w:val="14"/>
          <w:color w:val="auto"/>
        </w:rPr>
      </w:pPr>
    </w:p>
    <w:p>
      <w:pPr>
        <w:jc w:val="both"/>
        <w:ind w:left="660" w:right="14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three and nine months ended September 30, 2025, the Group recognized impairment charges of $559 million mainly related to Junglee. The Act, which was passed by the Indian Parliament and received Presidential assent on August 22, 2025, banned all forms of online real money gaming in India. As a result of the Act, from August 22, 2025, Junglee ceased offering all real-money games in India. The Junglee impairment charge is $556 million before income taxes. The assets impaired substantially consist of goodwill of</w:t>
      </w:r>
    </w:p>
    <w:p>
      <w:pPr>
        <w:spacing w:after="0" w:line="1" w:lineRule="exact"/>
        <w:rPr>
          <w:rFonts w:ascii="Times New Roman" w:cs="Times New Roman" w:eastAsia="Times New Roman" w:hAnsi="Times New Roman"/>
          <w:sz w:val="14"/>
          <w:szCs w:val="14"/>
          <w:color w:val="auto"/>
        </w:rPr>
      </w:pPr>
    </w:p>
    <w:p>
      <w:pPr>
        <w:ind w:left="660" w:right="220"/>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$517 million, acquired and developed intangibles of $32 million and other long-lived assets of $7 million. The $517 million of goodwill impaired is not deductible for tax purposes, and therefore there was no income tax benefit. Income tax impacts arising for acquired and developed intangibles and other long-lived assets are not material.</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cash generated from operations, and borrowings from various financial institutions and debt investors. We expect to continue to have cash requirements to support working capital needs and capital expenditures, to pay interest and service our long-term debt, to service our obligations under our operating leases, and to repurchase our ordinary shares subject to economic and market conditions and our capital requirements, and otherwise as described below under “Other Purchase Obligations.” We believe we have the ability and sufficient capacity to meet these cash requirements in the short term and long term by using available cash, internally generated funds and borrowings under the Group’s committed revolving credit facility. As of September 30, 2026, we had $1,708 million of cash and cash equivalents available for corporate use.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September 30, 2026, we had an aggregate principal amount of long-term debt of $12 billion, with $52 million due within 12 months. In addition, we are obligated to make periodic interest payments at variable rates, depending on the terms of the applicable debt agreements. Based on applicable interest rates and scheduled debt maturities as of September 30, 2026, our total interest obligation on long-term debt totaled $696 million payable within 12 months net of hedging. Actual future interest payments may differ from these amounts based on changes in floating interest rates or other factors or events. Excluded from these amounts are other costs related to indebtedness.</w:t>
      </w:r>
    </w:p>
    <w:p>
      <w:pPr>
        <w:spacing w:after="0" w:line="18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October 30, 2026, the Company and certain of its subsidiaries entered into a First Amendment and Restatement Agreement (the “First Amendment and Restatement Agreement”) to the Credit Agreement dated as of November 24, 2023 (as amended) (the “Credit Agreement”). After giving effect to the First Amendment and Restatement Agreement on November 3, 2026, the Group’s committed revolving credit facility has been increased to $1.86 billion. See Note 17, “Subsequent Events,” to the Unaudited Condensed Consolidated Financial Statements included in Part I, “Item 1. Financial Statements” of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have lease arrangements primarily for offices, retail stores and data centers. As of September 30, 2026, the Group had operating lease obligations of $559 million with $142 million payable within 12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0"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18"/>
          <w:szCs w:val="18"/>
          <w:color w:val="auto"/>
        </w:rPr>
        <w:t>On September 25, 2024, our Board authorized a share repurchase program (the “2024 Share Repurchase Program”) of up to $5 billion of our ordinary shares, subject to a variety of factors, including legal requirements, price, economic and market conditions and our capital requirements. During the third quarter of 2026, we did not repurchase any shares and paused the 2024 Share Repurchase Program to prioritize deleveraging. As of September 30, 2026, Flutter has repurchased 6,777,545 ordinary shares under the 2024 Share Repurchase Program for a total of $1,372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Purchase Obligations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of September 30, 2026, material cash requirements from known contractual and other obligations relating to sponsorship, marketing, media and other agreements totaled $4,998 million, which includes capital expenditure commitments contracted for but not yet incurred of $11 million. Contractual and other obligations payable in the remainder of fiscal 2026 are $483 million.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condensed consolidated cash flow information for the periods presented:</w:t>
      </w:r>
    </w:p>
    <w:p>
      <w:pPr>
        <w:spacing w:after="0" w:line="275"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4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compared to nine months ended September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2026 increased by $148 million, or 20%, to $904 million compared to $756 million of net cash provided by operating activities for the nine months ended September 30, 2025.</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movement in our cash flows from operating activities was primarily driven by changes in operating assets and liabilities arising from an increase in (i) player deposit liabilities of $402 million primarily from payment of lottery winnings by Sisal in the nine months ended September 30, 2025 following the rollover of the lottery jackpot as of December 31, 2024 and a jackpot won but unpaid in the nine months ended September 30, 2026; and (ii) from other liabilities of $683 million primarily due to higher accrued expenses period over period from UKI gambling duty increases and timing of payments across the Group, an increase in legal provisions and lower employee bonus payments period over period. These inflows were partially offset by an increase in interest payments of $105 million due to higher debt balances, a $99 million decrease in player deposit investments primarily reflecting sale of a higher amount of debt securities to invest in money market funds during the nine months ended September 30, 2025, and higher operating costs period over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2026 decreased by $2,611 million, or 83%, to $524 million compared to</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$3,135 million for the nine months ended September 30, 2025 primarily driven by a $2,688 million decrease in acquisitions net of cash acquired, reflecting the Snai and NSX acquisitions in the nine months ended September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nine months ended September 30, 2026, net cash used in financing activities increased by $2,760 million, to $243 million compared to net cash provided by financing activities of $2,517 million for the nine months ended September 30, 2025. The change primarily reflected (i) a $8,463 million decrease in proceeds from issuance of long-term debt driven by the April 29, 2025 and July 10, 2025 bridge credit agreement, the senior secured notes due 2031 and the USD term loan B due 2032 in the nine months ended September 30, 2025, partially offset by higher borrowings on our GBP Revolving Credit Facility due 2028 in the nine months ended September 30, 2026; (ii) a $3,523 million decrease in repayment of long-term debt primarily related to the 2025 repayment on our bridge credit facilities in the nine months ended September 30, 2025, used to finance the Snai acquisition and Boyd non-controlling interest acquisition, partially offset by higher repayments on our GBP Revolving Credit Facility due 2028 in the nine months ended September 30, 2026 ,</w:t>
      </w:r>
    </w:p>
    <w:p>
      <w:pPr>
        <w:spacing w:after="0" w:line="3" w:lineRule="exact"/>
        <w:rPr>
          <w:sz w:val="20"/>
          <w:szCs w:val="20"/>
          <w:color w:val="auto"/>
        </w:rPr>
      </w:pPr>
    </w:p>
    <w:p>
      <w:pPr>
        <w:ind w:right="20" w:firstLine="8"/>
        <w:spacing w:after="0" w:line="255" w:lineRule="auto"/>
        <w:tabs>
          <w:tab w:leader="none" w:pos="3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$1,620 million decrease in acquisition of non-controlling interests following the acquisition of Boyd’s 5% stake in FanDuel in the nine months ended September 30, 2025, and (iv) a $580 million decrease in repurchase of ordinary shares and taxes withheld and paid on employee share awards primarily driven by lower share repurchases period over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Our discussion and analysis of the financial condition and results of operations are based on these Unaudited Condensed Consolidated Financial Statements. The preparation of these Unaudited Condensed Consolidated Financial Statements requires the application of accounting policies in addition to certain estimates and judgments by our management. Our estimates and judgments are based on currently available information, historical results and other assumptions we believe are reasonable. Actual results could differ materially from these estimates.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Fox Option liability</w:t>
      </w:r>
    </w:p>
    <w:p>
      <w:pPr>
        <w:spacing w:after="0" w:line="11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there were no changes to the fair value measurement approach for the Fox Option liability as discussed in the 2025 Annual Report. For the input of subjective assumptions used in the option pricing model, please see Note 15. “Fair value measurements” to the Unaudited Condensed Consolidated Financial Statements included in Part I, “Item 1. Financial Statements” of this Quarterly Report.</w:t>
      </w:r>
    </w:p>
    <w:p>
      <w:pPr>
        <w:spacing w:after="0" w:line="68"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Changes in assumptions, each in isolation, may change the fair value of the Fox Option liability. Generally, a decrease in the equity value of the investor units, volatility and the probability of FOX getting licensed and an increase in DLOM and DLOC may result in a decrease in the fair value of the Fox Option liability. Due to the inherent uncertainty of determining the fair value of the Fox Option liability, the fair value of the Fox Option liability may fluctuate from period to period.</w:t>
      </w:r>
    </w:p>
    <w:p>
      <w:pPr>
        <w:spacing w:after="0" w:line="7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Additionally, the fair value of the Fox Option liability may differ significantly from the value that would have been used had a readily available market existed for FanDuel. In addition, changes in the market environment and other events that may occur over the life of the Fox Option may cause the losses ultimately realized on the Fox Option to be different than the unrealized losses reflected in the valuations currently assigned. The range in fair value as of September 30, 2026, is nil to $409 million, assuming a 10% increase/decrease in the equity value of the investor units and using the upper and lower end of the ranges of volatility, DLOC and DLOM, as disclosed in Note 15. “Fair value measurements” to the Unaudited Condensed Consolidated Financial Statements included in Part I, “Item 1. Financial Statements” of this Quarterly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and Claims</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regularly involved as plaintiffs or defendants in claims and litigation related to our past and current business operations. We establish an accrued liability for legal claims and indemnification claims when we determine that a loss is both probable and the amount of the loss can be reasonably estimated. Our estimates are based on all known facts at the time and our assessment of the ultimate outcome. As additional information becomes available, we reassess the potential liability related to our pending claims and litigation and may revise our estimates. The amount of any loss ultimately incurred in relation to matters for which an accrual has been established may be higher or lower than the amounts accrued for such matters. The estimates require significant judgment, given the varying stages of the proceedings, the numerous yet-unresolved issues in many of the claims and the uncertainty of the various potential outcomes of such claims. We vigorously defend ourselves against what we believe are improper claims, including those asserted in litigation. Due to the unpredictable nature of litigation, there can be no assurance that our accruals will be sufficient to cover the extent of our potential exposure to losses. Any fees, expenses, fines, penalties, judgments or settlements which might be incurred by us in connection with the various proceedings could affect our results of operations and financial condition. Please see Note 16. “Commitments and contingencies” to the Unaudited Condensed Consolidated Financial Statements included in Part I, “Item 1. Financial Statements” of this Quarterly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Assets and Liabilities Acquired in a Business Combination</w:t>
      </w:r>
    </w:p>
    <w:p>
      <w:pPr>
        <w:spacing w:after="0" w:line="1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accounting for a business combination requires the excess of the purchase price for an acquisition over the net book value of assets acquired to be allocated to identifiable assets, including intangible assets. Valuations are performed by independent valuation specialists under management’s supervision. We use various recognized valuation methods including present value modelling.</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Significant estimates and assumptions that we must make in estimating the fair value of acquired trademarks and customer relationships include future cash flows that we expect to generate from the acquired assets, including expected revenue growth rates, estimated royalty rates, customer attrition rates, profitability and discount rates.</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fair value of the acquired trade name is generally estimated using the relief from royalty method, which calculates the cost savings associated with owning rather than licensing the trade name. Assumed royalty rates are applied to the projected revenues for the remaining useful life of the trade name to estimate the royalty savings. The fair value of customer relationships is estimated using the multi-period excess earnings method. The multi-period excess earnings method model estimates revenues and cash flows derived from the primary asset and then deducts portions of the cash flow that can be attributed to supporting assets, such as trade name, technology and working capital that contributed to the generation of the cash flows. The resulting cash flow, which is attributable solely to the primary asset acquired, is then discounted at a rate of return commensurate with the risk of the asset to calculate a present value. Please see Note 11. “Business combinations” to the unaudited condensed consolidated financial statements included in Part I, “Item 1. Financial Statements” of this Quarterly Report.</w:t>
      </w:r>
    </w:p>
    <w:p>
      <w:pPr>
        <w:spacing w:after="0" w:line="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marketplace participant would use. While we use our best estimates and assumptions to accurately value assets acquired and liabilities assumed at the acquisition date, our estimates are inherently uncertain and subject to refinement. If the subsequent actual results and updated projections of the underlying business activity change compared with the assumptions and projections used to develop these values, we could record impairment charges. In addition, we have estimated the economic lives of certain acquired assets and these lives are used to calculate depreciation and amortization expense. If our estimates of the economic lives change, depreciation or amortization expenses could be accelerated or slowed.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in our exposure to market risk during the nine months ended September 30, 2026. Refer to Part II, “Item 7A.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Quantitative and Qualitative Disclosure About Market Risk” in the 2025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September 30, 2026. Based on the evaluation of our disclosure controls and procedures, our Chief Executive Officer and Chief Financial Officer concluded that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CEO and CFO,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quarter ended September 30, 2026, the Company continued the phased implementation of our new technology infrastructure, business processes, and operating models for our enabling functions related to our new enterprise resource planning system. We also made updates to the human resources information system and related business processes used in our key locations. This has involved changes to our internal controls over financial reporting. Except for these items, there were no other changes to our internal control over financial reporting that occurred during the third quarter of 2026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and from time to time may become, subject to litigation and various legal proceedings, including litigation and proceedings related to competition and antitrust, intellectual property, privacy, consumer protection, accessibility claims, securities, tax, advertising practices, labor and employment, commercial disputes and services, as well as shareholder derivative suits, class action lawsuits, actions from former employees, suits involving governmental authorities and other matters, that involve claims for substantial amounts of money or for other relief or that might necessitate changes to our business or operations. Please see Note 6. “Income taxes” and Note 16. “Commitments and contingencies” to our Unaudited Condensed Consolidated Financial Statements included in Part I, “Item 1. Financial Statements” of this Quarterly Report on Form 10-Q, which is incorporated herein by reference.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 Risk Factors” in our 2025 Annual Report other than those listed in this section.</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risks described in our 2025 Annual Report are not the only risks we face. Additional risks and uncertainties not currently known to us or that we currently deem to be immaterial also may materially adversely affect our business, financial condition and/or operating results.</w:t>
      </w:r>
    </w:p>
    <w:p>
      <w:pPr>
        <w:spacing w:after="0" w:line="158"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color w:val="auto"/>
        </w:rPr>
        <w:t>Our restructuring and cost-saving initiatives may not achieve their anticipated benefits and could adversely affect our business, financial condition and results of operations.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have undertaken, and expect to continue to undertake, a range of restructuring and cost-transformation initiatives intended to reduce our operating cost base and align resource allocation with our strategic priorities, including in response to regulatory changes, such as tax increases, implementation of anti-gambling legislation, and other macroeconomic factors. These initiatives involve, among other things, workforce reductions, cessation of targeted operations, technology platform migrations, consolidation of duplicative functions and increased use of automation and artificial intelligence (“AI”) to drive efficiencies. There can be no assurance that these initiatives will achieve their intended objectives within the expected timeframe, or at all, and the costs of implementation, including severance and other restructuring charges, technology investments and transition as well as consultation costs, may exceed anticipated savings.</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Execution of these initiatives carries operational risk. Workforce reductions and reorganizations may result in loss of institutional knowledge and increased workload for remaining employees, potentially affecting productivity, service levels and talent retention. These actions could increase the risk of operational disruptions, service interruptions, control failures or other significant events, particularly during transition periods, as responsibilities are reassigned and processes are adjusted. Technology platform migrations, such as the PokerStars migration, involve risk of customer disruption, data migration errors and regulatory notification obligations across licensed jurisdictions. Our increasing reliance on AI and automation to deliver cost efficiencies introduces additional risk, including the potential for erroneous outputs, algorithmic bias, data privacy or security incidents, and inadequate human oversight of automated decisions, any of which could undermine anticipated savings, create regulatory exposure, or cause reputational or operational harm. If anticipated savings and efficiencies from any of these initiatives are not realized, whether due to implementation delays, labor relations matters, technology or AI-related failures, or other unforeseen difficulties, our results of operations, cash generation and financial condition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September 25, 2024, our Board authorized the 2024 Share Repurchase Program of up to $5 billion of our ordinary shares, subject to a variety of factors, including legal requirements, price, economic and market conditions and our capital requirements. During the third quarter of 2026, we did not repurchase any shares under the 2024 Share Repurchase Program, and paused the 2024 Share Repurchase Program to prioritize deleveraging.</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 Rule 16a-1(f) of the Exchange Act) adopted, terminated or modified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4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Exhibit No. </w:t>
            </w:r>
          </w:p>
        </w:tc>
        <w:tc>
          <w:tcPr>
            <w:tcW w:w="1480" w:type="dxa"/>
            <w:vAlign w:val="bottom"/>
          </w:tcPr>
          <w:p>
            <w:pPr>
              <w:spacing w:after="0"/>
              <w:rPr>
                <w:sz w:val="24"/>
                <w:szCs w:val="24"/>
                <w:color w:val="auto"/>
              </w:rPr>
            </w:pPr>
          </w:p>
        </w:tc>
        <w:tc>
          <w:tcPr>
            <w:tcW w:w="2800" w:type="dxa"/>
            <w:vAlign w:val="bottom"/>
            <w:vMerge w:val="restart"/>
          </w:tcPr>
          <w:p>
            <w:pPr>
              <w:spacing w:after="0"/>
              <w:rPr>
                <w:sz w:val="24"/>
                <w:szCs w:val="24"/>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24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0" w:type="dxa"/>
            <w:vAlign w:val="bottom"/>
            <w:vMerge w:val="continue"/>
          </w:tcPr>
          <w:p>
            <w:pPr>
              <w:spacing w:after="0"/>
              <w:rPr>
                <w:sz w:val="14"/>
                <w:szCs w:val="14"/>
                <w:color w:val="auto"/>
              </w:rPr>
            </w:pPr>
          </w:p>
        </w:tc>
        <w:tc>
          <w:tcPr>
            <w:tcW w:w="900" w:type="dxa"/>
            <w:vAlign w:val="bottom"/>
            <w:tcBorders>
              <w:bottom w:val="single" w:sz="8" w:color="auto"/>
            </w:tcBorders>
            <w:gridSpan w:val="2"/>
            <w:vMerge w:val="continue"/>
          </w:tcPr>
          <w:p>
            <w:pPr>
              <w:spacing w:after="0"/>
              <w:rPr>
                <w:sz w:val="14"/>
                <w:szCs w:val="14"/>
                <w:color w:val="auto"/>
              </w:rPr>
            </w:pPr>
          </w:p>
        </w:tc>
        <w:tc>
          <w:tcPr>
            <w:tcW w:w="42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2"/>
        </w:trPr>
        <w:tc>
          <w:tcPr>
            <w:tcW w:w="12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7"/>
              </w:rPr>
              <w:t>3.1</w:t>
            </w:r>
          </w:p>
        </w:tc>
        <w:tc>
          <w:tcPr>
            <w:tcW w:w="460" w:type="dxa"/>
            <w:vAlign w:val="bottom"/>
          </w:tcPr>
          <w:p>
            <w:pPr>
              <w:spacing w:after="0"/>
              <w:rPr>
                <w:sz w:val="24"/>
                <w:szCs w:val="24"/>
                <w:color w:val="auto"/>
              </w:rPr>
            </w:pPr>
          </w:p>
        </w:tc>
        <w:tc>
          <w:tcPr>
            <w:tcW w:w="942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Memorandum and Articles of Association of Flutter Entertainment plc (incorporated by reference to Exhibit 3.1 of the Registrant’s</w:t>
              </w:r>
            </w:hyperlink>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98">
              <w:r>
                <w:rPr>
                  <w:rFonts w:ascii="Times New Roman" w:cs="Times New Roman" w:eastAsia="Times New Roman" w:hAnsi="Times New Roman"/>
                  <w:sz w:val="18"/>
                  <w:szCs w:val="18"/>
                  <w:color w:val="0000FF"/>
                  <w:w w:val="99"/>
                </w:rPr>
                <w:t>Current Report on Form 8-K filed with the SEC on June 1, 2026).</w:t>
              </w:r>
            </w:hyperlink>
          </w:p>
        </w:tc>
        <w:tc>
          <w:tcPr>
            <w:tcW w:w="46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10.1</w:t>
            </w:r>
          </w:p>
        </w:tc>
        <w:tc>
          <w:tcPr>
            <w:tcW w:w="460" w:type="dxa"/>
            <w:vAlign w:val="bottom"/>
          </w:tcPr>
          <w:p>
            <w:pPr>
              <w:spacing w:after="0"/>
              <w:rPr>
                <w:sz w:val="24"/>
                <w:szCs w:val="24"/>
                <w:color w:val="auto"/>
              </w:rPr>
            </w:pPr>
          </w:p>
        </w:tc>
        <w:tc>
          <w:tcPr>
            <w:tcW w:w="76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Transition Agreement, dated August 4, 2026, between Flutter Services UK Limited and Peter Jackson.*†+</w:t>
            </w:r>
          </w:p>
        </w:tc>
        <w:tc>
          <w:tcPr>
            <w:tcW w:w="17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31.1</w:t>
            </w:r>
          </w:p>
        </w:tc>
        <w:tc>
          <w:tcPr>
            <w:tcW w:w="460" w:type="dxa"/>
            <w:vAlign w:val="bottom"/>
          </w:tcPr>
          <w:p>
            <w:pPr>
              <w:spacing w:after="0"/>
              <w:rPr>
                <w:sz w:val="24"/>
                <w:szCs w:val="24"/>
                <w:color w:val="auto"/>
              </w:rPr>
            </w:pPr>
          </w:p>
        </w:tc>
        <w:tc>
          <w:tcPr>
            <w:tcW w:w="8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Quarterly Report by Chief Executive Officer under Section 302 of the Sarbanes-Oxley Act of 2002.*</w:t>
            </w:r>
          </w:p>
        </w:tc>
        <w:tc>
          <w:tcPr>
            <w:tcW w:w="10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2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31.2</w:t>
            </w:r>
          </w:p>
        </w:tc>
        <w:tc>
          <w:tcPr>
            <w:tcW w:w="460" w:type="dxa"/>
            <w:vAlign w:val="bottom"/>
          </w:tcPr>
          <w:p>
            <w:pPr>
              <w:spacing w:after="0"/>
              <w:rPr>
                <w:sz w:val="24"/>
                <w:szCs w:val="24"/>
                <w:color w:val="auto"/>
              </w:rPr>
            </w:pPr>
          </w:p>
        </w:tc>
        <w:tc>
          <w:tcPr>
            <w:tcW w:w="9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Quarterly Report by Chief Financial Officer under Section 302 of the Sarbanes-Oxley Act of 2002.*</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6880" w:type="dxa"/>
            <w:vAlign w:val="bottom"/>
            <w:gridSpan w:val="5"/>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32.1</w:t>
            </w:r>
          </w:p>
        </w:tc>
        <w:tc>
          <w:tcPr>
            <w:tcW w:w="460" w:type="dxa"/>
            <w:vAlign w:val="bottom"/>
          </w:tcPr>
          <w:p>
            <w:pPr>
              <w:spacing w:after="0"/>
              <w:rPr>
                <w:sz w:val="24"/>
                <w:szCs w:val="24"/>
                <w:color w:val="auto"/>
              </w:rPr>
            </w:pPr>
          </w:p>
        </w:tc>
        <w:tc>
          <w:tcPr>
            <w:tcW w:w="94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7760" w:type="dxa"/>
            <w:vAlign w:val="bottom"/>
            <w:tcBorders>
              <w:top w:val="single" w:sz="8" w:color="0000FF"/>
            </w:tcBorders>
            <w:gridSpan w:val="8"/>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2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32.2</w:t>
            </w:r>
          </w:p>
        </w:tc>
        <w:tc>
          <w:tcPr>
            <w:tcW w:w="460" w:type="dxa"/>
            <w:vAlign w:val="bottom"/>
          </w:tcPr>
          <w:p>
            <w:pPr>
              <w:spacing w:after="0"/>
              <w:rPr>
                <w:sz w:val="24"/>
                <w:szCs w:val="24"/>
                <w:color w:val="auto"/>
              </w:rPr>
            </w:pPr>
          </w:p>
        </w:tc>
        <w:tc>
          <w:tcPr>
            <w:tcW w:w="9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w:t>
            </w: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79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122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8"/>
              </w:rPr>
              <w:t>101.1</w:t>
            </w:r>
          </w:p>
        </w:tc>
        <w:tc>
          <w:tcPr>
            <w:tcW w:w="460" w:type="dxa"/>
            <w:vAlign w:val="bottom"/>
          </w:tcPr>
          <w:p>
            <w:pPr>
              <w:spacing w:after="0"/>
              <w:rPr>
                <w:sz w:val="24"/>
                <w:szCs w:val="24"/>
                <w:color w:val="auto"/>
              </w:rPr>
            </w:pPr>
          </w:p>
        </w:tc>
        <w:tc>
          <w:tcPr>
            <w:tcW w:w="9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information from Flutter Entertainment plc’s Quarterly Report on Form 10-Q for the quarter ended September 30,</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2026 formatted in Inline XBRL: (i) Unaudited Condensed Consolidated Balance Sheets as of September 30, 2026 and</w:t>
            </w: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20" w:type="dxa"/>
            <w:vAlign w:val="bottom"/>
            <w:gridSpan w:val="10"/>
          </w:tcPr>
          <w:p>
            <w:pPr>
              <w:spacing w:after="0" w:line="202" w:lineRule="exact"/>
              <w:rPr>
                <w:sz w:val="20"/>
                <w:szCs w:val="20"/>
                <w:color w:val="auto"/>
              </w:rPr>
            </w:pPr>
            <w:r>
              <w:rPr>
                <w:rFonts w:ascii="Times New Roman" w:cs="Times New Roman" w:eastAsia="Times New Roman" w:hAnsi="Times New Roman"/>
                <w:sz w:val="18"/>
                <w:szCs w:val="18"/>
                <w:color w:val="auto"/>
              </w:rPr>
              <w:t>December 31, 2025; (ii) Unaudited Condensed Consolidated Statements of Comprehensive Income (Loss) for the three and nine</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months ended September 30, 2026 and 2025; (iii) Unaudited Condensed Consolidated Statements of Changes in Shareholders’</w:t>
            </w:r>
          </w:p>
        </w:tc>
        <w:tc>
          <w:tcPr>
            <w:tcW w:w="0" w:type="dxa"/>
            <w:vAlign w:val="bottom"/>
          </w:tcPr>
          <w:p>
            <w:pPr>
              <w:spacing w:after="0"/>
              <w:rPr>
                <w:sz w:val="1"/>
                <w:szCs w:val="1"/>
                <w:color w:val="auto"/>
              </w:rPr>
            </w:pPr>
          </w:p>
        </w:tc>
      </w:tr>
    </w:tbl>
    <w:p>
      <w:pPr>
        <w:ind w:left="1680"/>
        <w:spacing w:after="0" w:line="234" w:lineRule="auto"/>
        <w:rPr>
          <w:sz w:val="20"/>
          <w:szCs w:val="20"/>
          <w:color w:val="auto"/>
        </w:rPr>
      </w:pPr>
      <w:r>
        <w:rPr>
          <w:rFonts w:ascii="Times New Roman" w:cs="Times New Roman" w:eastAsia="Times New Roman" w:hAnsi="Times New Roman"/>
          <w:sz w:val="18"/>
          <w:szCs w:val="18"/>
          <w:color w:val="auto"/>
        </w:rPr>
        <w:t>Equity and Redeemable Non-Controlling Interests for the three and nine months ended September 30, 2026 and 2025; (iv)</w:t>
      </w:r>
    </w:p>
    <w:p>
      <w:pPr>
        <w:ind w:left="1680"/>
        <w:spacing w:after="0" w:line="235" w:lineRule="auto"/>
        <w:rPr>
          <w:sz w:val="20"/>
          <w:szCs w:val="20"/>
          <w:color w:val="auto"/>
        </w:rPr>
      </w:pPr>
      <w:r>
        <w:rPr>
          <w:rFonts w:ascii="Times New Roman" w:cs="Times New Roman" w:eastAsia="Times New Roman" w:hAnsi="Times New Roman"/>
          <w:sz w:val="18"/>
          <w:szCs w:val="18"/>
          <w:color w:val="auto"/>
        </w:rPr>
        <w:t>Unaudited Condensed Consolidated Statements of Cash Flows for the nine months ended September 30, 2026 and 2025; and (v)</w:t>
      </w:r>
    </w:p>
    <w:p>
      <w:pPr>
        <w:spacing w:after="0" w:line="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Notes to the Unaudited Condensed Consolidated Financial Statements.*</w:t>
      </w:r>
    </w:p>
    <w:p>
      <w:pPr>
        <w:spacing w:after="0" w:line="246" w:lineRule="exact"/>
        <w:rPr>
          <w:sz w:val="20"/>
          <w:szCs w:val="20"/>
          <w:color w:val="auto"/>
        </w:rPr>
      </w:pPr>
    </w:p>
    <w:p>
      <w:pPr>
        <w:ind w:left="1680" w:hanging="1080"/>
        <w:spacing w:after="0"/>
        <w:tabs>
          <w:tab w:leader="none" w:pos="16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101.1).</w:t>
      </w:r>
    </w:p>
    <w:p>
      <w:pPr>
        <w:spacing w:after="0" w:line="34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715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(indicated by “[***]”) have been omitted pursuant to Item 601(b)(10)(iv) of Regulation S-K.</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agreements and other documents filed as exhibits to this report are not intended to provide factual information or other disclosure other than with respect to the terms of the agreements or other documents themselves and should not be relied upon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Flutter Entertainment plc</w:t>
      </w:r>
    </w:p>
    <w:p>
      <w:pPr>
        <w:spacing w:after="0" w:line="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320" w:type="dxa"/>
            <w:vAlign w:val="bottom"/>
          </w:tcPr>
          <w:p>
            <w:pPr>
              <w:ind w:left="660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Dan Taylor</w:t>
            </w:r>
          </w:p>
        </w:tc>
      </w:tr>
      <w:tr>
        <w:trPr>
          <w:trHeight w:val="24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3900" w:type="dxa"/>
            <w:vAlign w:val="bottom"/>
            <w:tcBorders>
              <w:bottom w:val="single" w:sz="8" w:color="auto"/>
            </w:tcBorders>
          </w:tcPr>
          <w:p>
            <w:pPr>
              <w:spacing w:after="0"/>
              <w:rPr>
                <w:sz w:val="20"/>
                <w:szCs w:val="20"/>
                <w:color w:val="auto"/>
              </w:rPr>
            </w:pPr>
          </w:p>
        </w:tc>
      </w:tr>
      <w:tr>
        <w:trPr>
          <w:trHeight w:val="256"/>
        </w:trPr>
        <w:tc>
          <w:tcPr>
            <w:tcW w:w="7320" w:type="dxa"/>
            <w:vAlign w:val="bottom"/>
          </w:tcPr>
          <w:p>
            <w:pPr>
              <w:ind w:left="660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 Taylor</w:t>
            </w:r>
          </w:p>
        </w:tc>
      </w:tr>
      <w:tr>
        <w:trPr>
          <w:trHeight w:val="270"/>
        </w:trPr>
        <w:tc>
          <w:tcPr>
            <w:tcW w:w="7320" w:type="dxa"/>
            <w:vAlign w:val="bottom"/>
          </w:tcPr>
          <w:p>
            <w:pPr>
              <w:ind w:left="660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7320" w:type="dxa"/>
            <w:vAlign w:val="bottom"/>
          </w:tcPr>
          <w:p>
            <w:pPr>
              <w:spacing w:after="0"/>
              <w:rPr>
                <w:sz w:val="23"/>
                <w:szCs w:val="23"/>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22"/>
        </w:trPr>
        <w:tc>
          <w:tcPr>
            <w:tcW w:w="7320" w:type="dxa"/>
            <w:vAlign w:val="bottom"/>
          </w:tcPr>
          <w:p>
            <w:pPr>
              <w:ind w:left="660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Rob Coldrake</w:t>
            </w:r>
          </w:p>
        </w:tc>
      </w:tr>
      <w:tr>
        <w:trPr>
          <w:trHeight w:val="241"/>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3900" w:type="dxa"/>
            <w:vAlign w:val="bottom"/>
            <w:tcBorders>
              <w:bottom w:val="single" w:sz="8" w:color="auto"/>
            </w:tcBorders>
          </w:tcPr>
          <w:p>
            <w:pPr>
              <w:spacing w:after="0"/>
              <w:rPr>
                <w:sz w:val="20"/>
                <w:szCs w:val="20"/>
                <w:color w:val="auto"/>
              </w:rPr>
            </w:pPr>
          </w:p>
        </w:tc>
      </w:tr>
      <w:tr>
        <w:trPr>
          <w:trHeight w:val="257"/>
        </w:trPr>
        <w:tc>
          <w:tcPr>
            <w:tcW w:w="7320" w:type="dxa"/>
            <w:vAlign w:val="bottom"/>
          </w:tcPr>
          <w:p>
            <w:pPr>
              <w:ind w:left="660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 Coldrake</w:t>
            </w:r>
          </w:p>
        </w:tc>
      </w:tr>
      <w:tr>
        <w:trPr>
          <w:trHeight w:val="270"/>
        </w:trPr>
        <w:tc>
          <w:tcPr>
            <w:tcW w:w="7320" w:type="dxa"/>
            <w:vAlign w:val="bottom"/>
          </w:tcPr>
          <w:p>
            <w:pPr>
              <w:ind w:left="660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7320" w:type="dxa"/>
            <w:vAlign w:val="bottom"/>
          </w:tcPr>
          <w:p>
            <w:pPr>
              <w:spacing w:after="0"/>
              <w:rPr>
                <w:sz w:val="23"/>
                <w:szCs w:val="23"/>
                <w:color w:val="auto"/>
              </w:rPr>
            </w:pPr>
          </w:p>
        </w:tc>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918"/>
        </w:trPr>
        <w:tc>
          <w:tcPr>
            <w:tcW w:w="732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64</w:t>
            </w:r>
          </w:p>
        </w:tc>
        <w:tc>
          <w:tcPr>
            <w:tcW w:w="390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41"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color w:val="auto"/>
        </w:rPr>
        <w:t>[Pursuant to Item 601(b)(10)(iv) of Regulation S-K, certain information marked with “[***]” has</w:t>
      </w:r>
    </w:p>
    <w:p>
      <w:pPr>
        <w:spacing w:after="0" w:line="140" w:lineRule="exact"/>
        <w:rPr>
          <w:sz w:val="20"/>
          <w:szCs w:val="20"/>
          <w:color w:val="auto"/>
        </w:rPr>
      </w:pPr>
    </w:p>
    <w:p>
      <w:pPr>
        <w:jc w:val="center"/>
        <w:ind w:right="920"/>
        <w:spacing w:after="0"/>
        <w:rPr>
          <w:sz w:val="20"/>
          <w:szCs w:val="20"/>
          <w:color w:val="auto"/>
        </w:rPr>
      </w:pPr>
      <w:r>
        <w:rPr>
          <w:rFonts w:ascii="Arial" w:cs="Arial" w:eastAsia="Arial" w:hAnsi="Arial"/>
          <w:sz w:val="16"/>
          <w:szCs w:val="16"/>
          <w:b w:val="1"/>
          <w:bCs w:val="1"/>
          <w:color w:val="auto"/>
        </w:rPr>
        <w:t>been omitted as it is (i) not material and (ii) is customarily and actually treated as private or confidential by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940"/>
        <w:spacing w:after="0"/>
        <w:rPr>
          <w:sz w:val="20"/>
          <w:szCs w:val="20"/>
          <w:color w:val="auto"/>
        </w:rPr>
      </w:pPr>
      <w:r>
        <w:rPr>
          <w:rFonts w:ascii="Verdana" w:cs="Verdana" w:eastAsia="Verdana" w:hAnsi="Verdana"/>
          <w:sz w:val="18"/>
          <w:szCs w:val="18"/>
          <w:b w:val="1"/>
          <w:bCs w:val="1"/>
          <w:color w:val="auto"/>
        </w:rPr>
        <w:t>4 August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580"/>
        <w:spacing w:after="0"/>
        <w:rPr>
          <w:sz w:val="20"/>
          <w:szCs w:val="20"/>
          <w:color w:val="auto"/>
        </w:rPr>
      </w:pPr>
      <w:r>
        <w:rPr>
          <w:rFonts w:ascii="Verdana" w:cs="Verdana" w:eastAsia="Verdana" w:hAnsi="Verdana"/>
          <w:sz w:val="18"/>
          <w:szCs w:val="18"/>
          <w:b w:val="1"/>
          <w:bCs w:val="1"/>
          <w:color w:val="auto"/>
        </w:rPr>
        <w:t>Jeremy Peter Jackson</w:t>
      </w:r>
    </w:p>
    <w:p>
      <w:pPr>
        <w:spacing w:after="0" w:line="200" w:lineRule="exact"/>
        <w:rPr>
          <w:sz w:val="20"/>
          <w:szCs w:val="20"/>
          <w:color w:val="auto"/>
        </w:rPr>
      </w:pPr>
    </w:p>
    <w:p>
      <w:pPr>
        <w:spacing w:after="0" w:line="310" w:lineRule="exact"/>
        <w:rPr>
          <w:sz w:val="20"/>
          <w:szCs w:val="20"/>
          <w:color w:val="auto"/>
        </w:rPr>
      </w:pPr>
    </w:p>
    <w:p>
      <w:pPr>
        <w:ind w:left="3300"/>
        <w:spacing w:after="0"/>
        <w:rPr>
          <w:sz w:val="20"/>
          <w:szCs w:val="20"/>
          <w:color w:val="auto"/>
        </w:rPr>
      </w:pPr>
      <w:r>
        <w:rPr>
          <w:rFonts w:ascii="Verdana" w:cs="Verdana" w:eastAsia="Verdana" w:hAnsi="Verdana"/>
          <w:sz w:val="18"/>
          <w:szCs w:val="18"/>
          <w:b w:val="1"/>
          <w:bCs w:val="1"/>
          <w:color w:val="auto"/>
        </w:rPr>
        <w:t>Flutter Services UK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2084705</wp:posOffset>
            </wp:positionV>
            <wp:extent cx="37287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372872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2101850</wp:posOffset>
            </wp:positionV>
            <wp:extent cx="37287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3728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320"/>
        <w:spacing w:after="0"/>
        <w:rPr>
          <w:sz w:val="20"/>
          <w:szCs w:val="20"/>
          <w:color w:val="auto"/>
        </w:rPr>
      </w:pPr>
      <w:r>
        <w:rPr>
          <w:rFonts w:ascii="Verdana" w:cs="Verdana" w:eastAsia="Verdana" w:hAnsi="Verdana"/>
          <w:sz w:val="18"/>
          <w:szCs w:val="18"/>
          <w:b w:val="1"/>
          <w:bCs w:val="1"/>
          <w:color w:val="auto"/>
        </w:rPr>
        <w:t>TRANSITION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156210</wp:posOffset>
            </wp:positionV>
            <wp:extent cx="37287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3728720"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173355</wp:posOffset>
            </wp:positionV>
            <wp:extent cx="37287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728720" cy="8890"/>
                    </a:xfrm>
                    <a:prstGeom prst="rect">
                      <a:avLst/>
                    </a:prstGeom>
                    <a:noFill/>
                  </pic:spPr>
                </pic:pic>
              </a:graphicData>
            </a:graphic>
          </wp:anchor>
        </w:drawing>
        <w:drawing>
          <wp:anchor simplePos="0" relativeHeight="251657728" behindDoc="1" locked="0" layoutInCell="0" allowOverlap="1">
            <wp:simplePos x="0" y="0"/>
            <wp:positionH relativeFrom="column">
              <wp:posOffset>2039620</wp:posOffset>
            </wp:positionH>
            <wp:positionV relativeFrom="paragraph">
              <wp:posOffset>1141730</wp:posOffset>
            </wp:positionV>
            <wp:extent cx="187706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877060" cy="154305"/>
                    </a:xfrm>
                    <a:prstGeom prst="rect">
                      <a:avLst/>
                    </a:prstGeom>
                    <a:noFill/>
                  </pic:spPr>
                </pic:pic>
              </a:graphicData>
            </a:graphic>
          </wp:anchor>
        </w:drawing>
      </w:r>
    </w:p>
    <w:p>
      <w:pPr>
        <w:sectPr>
          <w:pgSz w:w="11900" w:h="16838" w:orient="portrait"/>
          <w:cols w:equalWidth="0" w:num="1">
            <w:col w:w="10300"/>
          </w:cols>
          <w:pgMar w:left="1260" w:top="131" w:right="339" w:bottom="1440" w:gutter="0" w:footer="0" w:header="0"/>
        </w:sectPr>
      </w:pPr>
    </w:p>
    <w:bookmarkStart w:id="69" w:name="page70"/>
    <w:bookmarkEnd w:id="69"/>
    <w:p>
      <w:pPr>
        <w:spacing w:after="0" w:line="23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THIS AGREEMENT </w:t>
      </w:r>
      <w:r>
        <w:rPr>
          <w:rFonts w:ascii="Verdana" w:cs="Verdana" w:eastAsia="Verdana" w:hAnsi="Verdana"/>
          <w:sz w:val="18"/>
          <w:szCs w:val="18"/>
          <w:color w:val="auto"/>
        </w:rPr>
        <w:t>is made on 4 August 2026</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BETWEEN</w:t>
      </w:r>
    </w:p>
    <w:p>
      <w:pPr>
        <w:spacing w:after="0" w:line="213" w:lineRule="exact"/>
        <w:rPr>
          <w:sz w:val="20"/>
          <w:szCs w:val="20"/>
          <w:color w:val="auto"/>
        </w:rPr>
      </w:pPr>
    </w:p>
    <w:p>
      <w:pPr>
        <w:ind w:left="660" w:hanging="652"/>
        <w:spacing w:after="0" w:line="299" w:lineRule="auto"/>
        <w:tabs>
          <w:tab w:leader="none" w:pos="654" w:val="left"/>
        </w:tabs>
        <w:numPr>
          <w:ilvl w:val="0"/>
          <w:numId w:val="34"/>
        </w:numPr>
        <w:rPr>
          <w:rFonts w:ascii="Verdana" w:cs="Verdana" w:eastAsia="Verdana" w:hAnsi="Verdana"/>
          <w:sz w:val="18"/>
          <w:szCs w:val="18"/>
          <w:color w:val="auto"/>
        </w:rPr>
      </w:pPr>
      <w:r>
        <w:rPr>
          <w:rFonts w:ascii="Verdana" w:cs="Verdana" w:eastAsia="Verdana" w:hAnsi="Verdana"/>
          <w:sz w:val="18"/>
          <w:szCs w:val="18"/>
          <w:b w:val="1"/>
          <w:bCs w:val="1"/>
          <w:color w:val="auto"/>
        </w:rPr>
        <w:t xml:space="preserve">Flutter Services UK Limited </w:t>
      </w:r>
      <w:r>
        <w:rPr>
          <w:rFonts w:ascii="Verdana" w:cs="Verdana" w:eastAsia="Verdana" w:hAnsi="Verdana"/>
          <w:sz w:val="18"/>
          <w:szCs w:val="18"/>
          <w:color w:val="auto"/>
        </w:rPr>
        <w:t>registered in the UK with registered number 15883905 whose registered office is at</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 xml:space="preserve">One Chamberlain Square Cs, Birmingham, United Kingdom, B3 3AX (the </w:t>
      </w:r>
      <w:r>
        <w:rPr>
          <w:rFonts w:ascii="Verdana" w:cs="Verdana" w:eastAsia="Verdana" w:hAnsi="Verdana"/>
          <w:sz w:val="18"/>
          <w:szCs w:val="18"/>
          <w:b w:val="1"/>
          <w:bCs w:val="1"/>
          <w:i w:val="1"/>
          <w:iCs w:val="1"/>
          <w:color w:val="auto"/>
        </w:rPr>
        <w:t>Company</w:t>
      </w:r>
      <w:r>
        <w:rPr>
          <w:rFonts w:ascii="Verdana" w:cs="Verdana" w:eastAsia="Verdana" w:hAnsi="Verdana"/>
          <w:sz w:val="18"/>
          <w:szCs w:val="18"/>
          <w:color w:val="auto"/>
        </w:rPr>
        <w:t>); and</w:t>
      </w:r>
    </w:p>
    <w:p>
      <w:pPr>
        <w:spacing w:after="0" w:line="129" w:lineRule="exact"/>
        <w:rPr>
          <w:rFonts w:ascii="Verdana" w:cs="Verdana" w:eastAsia="Verdana" w:hAnsi="Verdana"/>
          <w:sz w:val="18"/>
          <w:szCs w:val="18"/>
          <w:color w:val="auto"/>
        </w:rPr>
      </w:pPr>
    </w:p>
    <w:p>
      <w:pPr>
        <w:ind w:left="660" w:hanging="652"/>
        <w:spacing w:after="0"/>
        <w:tabs>
          <w:tab w:leader="none" w:pos="660" w:val="left"/>
        </w:tabs>
        <w:numPr>
          <w:ilvl w:val="0"/>
          <w:numId w:val="34"/>
        </w:numPr>
        <w:rPr>
          <w:rFonts w:ascii="Verdana" w:cs="Verdana" w:eastAsia="Verdana" w:hAnsi="Verdana"/>
          <w:sz w:val="18"/>
          <w:szCs w:val="18"/>
          <w:color w:val="auto"/>
        </w:rPr>
      </w:pPr>
      <w:r>
        <w:rPr>
          <w:rFonts w:ascii="Verdana" w:cs="Verdana" w:eastAsia="Verdana" w:hAnsi="Verdana"/>
          <w:sz w:val="18"/>
          <w:szCs w:val="18"/>
          <w:b w:val="1"/>
          <w:bCs w:val="1"/>
          <w:color w:val="auto"/>
        </w:rPr>
        <w:t xml:space="preserve">Jeremy Peter Jackson </w:t>
      </w:r>
      <w:r>
        <w:rPr>
          <w:rFonts w:ascii="Verdana" w:cs="Verdana" w:eastAsia="Verdana" w:hAnsi="Verdana"/>
          <w:sz w:val="18"/>
          <w:szCs w:val="18"/>
          <w:color w:val="auto"/>
        </w:rPr>
        <w:t>of [***] (the</w:t>
      </w:r>
      <w:r>
        <w:rPr>
          <w:rFonts w:ascii="Verdana" w:cs="Verdana" w:eastAsia="Verdana" w:hAnsi="Verdana"/>
          <w:sz w:val="18"/>
          <w:szCs w:val="18"/>
          <w:b w:val="1"/>
          <w:bCs w:val="1"/>
          <w:color w:val="auto"/>
        </w:rPr>
        <w:t xml:space="preserve"> </w:t>
      </w:r>
      <w:r>
        <w:rPr>
          <w:rFonts w:ascii="Verdana" w:cs="Verdana" w:eastAsia="Verdana" w:hAnsi="Verdana"/>
          <w:sz w:val="18"/>
          <w:szCs w:val="18"/>
          <w:b w:val="1"/>
          <w:bCs w:val="1"/>
          <w:i w:val="1"/>
          <w:iCs w:val="1"/>
          <w:color w:val="auto"/>
        </w:rPr>
        <w:t>Employee</w:t>
      </w:r>
      <w:r>
        <w:rPr>
          <w:rFonts w:ascii="Verdana" w:cs="Verdana" w:eastAsia="Verdana" w:hAnsi="Verdana"/>
          <w:sz w:val="18"/>
          <w:szCs w:val="18"/>
          <w:color w:val="auto"/>
        </w:rPr>
        <w:t>).</w:t>
      </w:r>
    </w:p>
    <w:p>
      <w:pPr>
        <w:spacing w:after="0" w:line="20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WHEREAS</w:t>
      </w:r>
    </w:p>
    <w:p>
      <w:pPr>
        <w:spacing w:after="0" w:line="227" w:lineRule="exact"/>
        <w:rPr>
          <w:sz w:val="20"/>
          <w:szCs w:val="20"/>
          <w:color w:val="auto"/>
        </w:rPr>
      </w:pPr>
    </w:p>
    <w:p>
      <w:pPr>
        <w:ind w:left="640" w:hanging="632"/>
        <w:spacing w:after="0"/>
        <w:tabs>
          <w:tab w:leader="none" w:pos="640"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The Company employs the Employee as Chief Executive Officer under the terms of the Service Agreement.</w:t>
      </w:r>
    </w:p>
    <w:p>
      <w:pPr>
        <w:spacing w:after="0" w:line="186" w:lineRule="exact"/>
        <w:rPr>
          <w:rFonts w:ascii="Verdana" w:cs="Verdana" w:eastAsia="Verdana" w:hAnsi="Verdana"/>
          <w:sz w:val="18"/>
          <w:szCs w:val="18"/>
          <w:color w:val="auto"/>
        </w:rPr>
      </w:pPr>
    </w:p>
    <w:p>
      <w:pPr>
        <w:ind w:left="640" w:hanging="632"/>
        <w:spacing w:after="0"/>
        <w:tabs>
          <w:tab w:leader="none" w:pos="640" w:val="left"/>
        </w:tabs>
        <w:numPr>
          <w:ilvl w:val="0"/>
          <w:numId w:val="35"/>
        </w:numPr>
        <w:rPr>
          <w:rFonts w:ascii="Verdana" w:cs="Verdana" w:eastAsia="Verdana" w:hAnsi="Verdana"/>
          <w:sz w:val="18"/>
          <w:szCs w:val="18"/>
          <w:color w:val="auto"/>
        </w:rPr>
      </w:pPr>
      <w:r>
        <w:rPr>
          <w:rFonts w:ascii="Verdana" w:cs="Verdana" w:eastAsia="Verdana" w:hAnsi="Verdana"/>
          <w:sz w:val="18"/>
          <w:szCs w:val="18"/>
          <w:color w:val="auto"/>
        </w:rPr>
        <w:t>It has been decided that the Employee’s employment will terminate.</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IT IS AGREED </w:t>
      </w:r>
      <w:r>
        <w:rPr>
          <w:rFonts w:ascii="Verdana" w:cs="Verdana" w:eastAsia="Verdana" w:hAnsi="Verdana"/>
          <w:sz w:val="18"/>
          <w:szCs w:val="18"/>
          <w:color w:val="auto"/>
        </w:rPr>
        <w:t>as follows:</w:t>
      </w:r>
    </w:p>
    <w:p>
      <w:pPr>
        <w:spacing w:after="0" w:line="281" w:lineRule="exact"/>
        <w:rPr>
          <w:sz w:val="20"/>
          <w:szCs w:val="20"/>
          <w:color w:val="auto"/>
        </w:rPr>
      </w:pPr>
    </w:p>
    <w:p>
      <w:pPr>
        <w:ind w:left="640" w:hanging="632"/>
        <w:spacing w:after="0"/>
        <w:tabs>
          <w:tab w:leader="none" w:pos="640" w:val="left"/>
        </w:tabs>
        <w:numPr>
          <w:ilvl w:val="0"/>
          <w:numId w:val="3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INTERPRETATION</w:t>
      </w:r>
    </w:p>
    <w:p>
      <w:pPr>
        <w:spacing w:after="0" w:line="186"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1.1</w:t>
      </w:r>
      <w:r>
        <w:rPr>
          <w:sz w:val="20"/>
          <w:szCs w:val="20"/>
          <w:color w:val="auto"/>
        </w:rPr>
        <w:tab/>
      </w:r>
      <w:r>
        <w:rPr>
          <w:rFonts w:ascii="Verdana" w:cs="Verdana" w:eastAsia="Verdana" w:hAnsi="Verdana"/>
          <w:sz w:val="17"/>
          <w:szCs w:val="17"/>
          <w:color w:val="auto"/>
        </w:rPr>
        <w:t>In this Agreement the following expressions, unless otherwise expressly stated, have the following meanings:</w:t>
      </w:r>
    </w:p>
    <w:p>
      <w:pPr>
        <w:spacing w:after="0" w:line="200" w:lineRule="exact"/>
        <w:rPr>
          <w:sz w:val="20"/>
          <w:szCs w:val="20"/>
          <w:color w:val="auto"/>
        </w:rPr>
      </w:pPr>
    </w:p>
    <w:p>
      <w:pPr>
        <w:ind w:left="660"/>
        <w:spacing w:after="0" w:line="299" w:lineRule="auto"/>
        <w:rPr>
          <w:sz w:val="20"/>
          <w:szCs w:val="20"/>
          <w:color w:val="auto"/>
        </w:rPr>
      </w:pPr>
      <w:r>
        <w:rPr>
          <w:rFonts w:ascii="Verdana" w:cs="Verdana" w:eastAsia="Verdana" w:hAnsi="Verdana"/>
          <w:sz w:val="18"/>
          <w:szCs w:val="18"/>
          <w:b w:val="1"/>
          <w:bCs w:val="1"/>
          <w:i w:val="1"/>
          <w:iCs w:val="1"/>
          <w:color w:val="auto"/>
        </w:rPr>
        <w:t xml:space="preserve">Business Hours </w:t>
      </w:r>
      <w:r>
        <w:rPr>
          <w:rFonts w:ascii="Verdana" w:cs="Verdana" w:eastAsia="Verdana" w:hAnsi="Verdana"/>
          <w:sz w:val="18"/>
          <w:szCs w:val="18"/>
          <w:color w:val="auto"/>
        </w:rPr>
        <w:t>means 9.30am to 5.30pm on a day, other than a Saturday, Sunday or public holiday in England</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and Wales, on which banks are open for general commercial business;</w:t>
      </w:r>
    </w:p>
    <w:p>
      <w:pPr>
        <w:spacing w:after="0" w:line="116"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i w:val="1"/>
          <w:iCs w:val="1"/>
          <w:color w:val="auto"/>
        </w:rPr>
        <w:t xml:space="preserve">Group Company </w:t>
      </w:r>
      <w:r>
        <w:rPr>
          <w:rFonts w:ascii="Verdana" w:cs="Verdana" w:eastAsia="Verdana" w:hAnsi="Verdana"/>
          <w:sz w:val="18"/>
          <w:szCs w:val="18"/>
          <w:color w:val="auto"/>
        </w:rPr>
        <w:t>means any of (i) the Company (ii) any holding company of the Company from time to time and</w:t>
      </w:r>
    </w:p>
    <w:p>
      <w:pPr>
        <w:spacing w:after="0" w:line="38" w:lineRule="exact"/>
        <w:rPr>
          <w:sz w:val="20"/>
          <w:szCs w:val="20"/>
          <w:color w:val="auto"/>
        </w:rPr>
      </w:pPr>
    </w:p>
    <w:p>
      <w:pPr>
        <w:ind w:left="1060" w:hanging="404"/>
        <w:spacing w:after="0"/>
        <w:tabs>
          <w:tab w:leader="none" w:pos="1060" w:val="left"/>
        </w:tabs>
        <w:numPr>
          <w:ilvl w:val="0"/>
          <w:numId w:val="37"/>
        </w:numPr>
        <w:rPr>
          <w:rFonts w:ascii="Verdana" w:cs="Verdana" w:eastAsia="Verdana" w:hAnsi="Verdana"/>
          <w:sz w:val="18"/>
          <w:szCs w:val="18"/>
          <w:color w:val="auto"/>
        </w:rPr>
      </w:pPr>
      <w:r>
        <w:rPr>
          <w:rFonts w:ascii="Verdana" w:cs="Verdana" w:eastAsia="Verdana" w:hAnsi="Verdana"/>
          <w:sz w:val="18"/>
          <w:szCs w:val="18"/>
          <w:color w:val="auto"/>
        </w:rPr>
        <w:t xml:space="preserve">any subsidiary of the Company or of any such holding company from time to time. </w:t>
      </w:r>
      <w:r>
        <w:rPr>
          <w:rFonts w:ascii="Verdana" w:cs="Verdana" w:eastAsia="Verdana" w:hAnsi="Verdana"/>
          <w:sz w:val="18"/>
          <w:szCs w:val="18"/>
          <w:b w:val="1"/>
          <w:bCs w:val="1"/>
          <w:i w:val="1"/>
          <w:iCs w:val="1"/>
          <w:color w:val="auto"/>
        </w:rPr>
        <w:t>Holding company</w:t>
      </w:r>
      <w:r>
        <w:rPr>
          <w:rFonts w:ascii="Verdana" w:cs="Verdana" w:eastAsia="Verdana" w:hAnsi="Verdana"/>
          <w:sz w:val="18"/>
          <w:szCs w:val="18"/>
          <w:color w:val="auto"/>
        </w:rPr>
        <w:t xml:space="preserve"> and</w:t>
      </w:r>
    </w:p>
    <w:p>
      <w:pPr>
        <w:spacing w:after="0" w:line="37" w:lineRule="exact"/>
        <w:rPr>
          <w:rFonts w:ascii="Verdana" w:cs="Verdana" w:eastAsia="Verdana" w:hAnsi="Verdana"/>
          <w:sz w:val="18"/>
          <w:szCs w:val="18"/>
          <w:color w:val="auto"/>
        </w:rPr>
      </w:pPr>
    </w:p>
    <w:p>
      <w:pPr>
        <w:ind w:left="660"/>
        <w:spacing w:after="0" w:line="284" w:lineRule="auto"/>
        <w:rPr>
          <w:rFonts w:ascii="Verdana" w:cs="Verdana" w:eastAsia="Verdana" w:hAnsi="Verdana"/>
          <w:sz w:val="18"/>
          <w:szCs w:val="18"/>
          <w:color w:val="auto"/>
        </w:rPr>
      </w:pPr>
      <w:r>
        <w:rPr>
          <w:rFonts w:ascii="Verdana" w:cs="Verdana" w:eastAsia="Verdana" w:hAnsi="Verdana"/>
          <w:sz w:val="18"/>
          <w:szCs w:val="18"/>
          <w:b w:val="1"/>
          <w:bCs w:val="1"/>
          <w:i w:val="1"/>
          <w:iCs w:val="1"/>
          <w:color w:val="auto"/>
        </w:rPr>
        <w:t xml:space="preserve">subsidiary </w:t>
      </w:r>
      <w:r>
        <w:rPr>
          <w:rFonts w:ascii="Verdana" w:cs="Verdana" w:eastAsia="Verdana" w:hAnsi="Verdana"/>
          <w:sz w:val="18"/>
          <w:szCs w:val="18"/>
          <w:color w:val="auto"/>
        </w:rPr>
        <w:t>shall have the meanings ascribed to them by Section 1159 of the Companies Act 2006, as amended and</w:t>
      </w:r>
      <w:r>
        <w:rPr>
          <w:rFonts w:ascii="Verdana" w:cs="Verdana" w:eastAsia="Verdana" w:hAnsi="Verdana"/>
          <w:sz w:val="18"/>
          <w:szCs w:val="18"/>
          <w:b w:val="1"/>
          <w:bCs w:val="1"/>
          <w:i w:val="1"/>
          <w:iCs w:val="1"/>
          <w:color w:val="auto"/>
        </w:rPr>
        <w:t xml:space="preserve"> Group </w:t>
      </w:r>
      <w:r>
        <w:rPr>
          <w:rFonts w:ascii="Verdana" w:cs="Verdana" w:eastAsia="Verdana" w:hAnsi="Verdana"/>
          <w:sz w:val="18"/>
          <w:szCs w:val="18"/>
          <w:color w:val="auto"/>
        </w:rPr>
        <w:t>shall be interpreted accordingly;</w:t>
      </w:r>
    </w:p>
    <w:p>
      <w:pPr>
        <w:spacing w:after="0" w:line="144" w:lineRule="exact"/>
        <w:rPr>
          <w:sz w:val="20"/>
          <w:szCs w:val="20"/>
          <w:color w:val="auto"/>
        </w:rPr>
      </w:pPr>
    </w:p>
    <w:p>
      <w:pPr>
        <w:jc w:val="both"/>
        <w:ind w:left="660"/>
        <w:spacing w:after="0" w:line="282" w:lineRule="auto"/>
        <w:rPr>
          <w:sz w:val="20"/>
          <w:szCs w:val="20"/>
          <w:color w:val="auto"/>
        </w:rPr>
      </w:pPr>
      <w:r>
        <w:rPr>
          <w:rFonts w:ascii="Verdana" w:cs="Verdana" w:eastAsia="Verdana" w:hAnsi="Verdana"/>
          <w:sz w:val="18"/>
          <w:szCs w:val="18"/>
          <w:b w:val="1"/>
          <w:bCs w:val="1"/>
          <w:i w:val="1"/>
          <w:iCs w:val="1"/>
          <w:color w:val="auto"/>
        </w:rPr>
        <w:t xml:space="preserve">PAYE Deductions </w:t>
      </w:r>
      <w:r>
        <w:rPr>
          <w:rFonts w:ascii="Verdana" w:cs="Verdana" w:eastAsia="Verdana" w:hAnsi="Verdana"/>
          <w:sz w:val="18"/>
          <w:szCs w:val="18"/>
          <w:color w:val="auto"/>
        </w:rPr>
        <w:t>means deductions made to comply with or to meet any liability of the Company to account for</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tax pursuant to regulations made under Chapter 2 of Part 11 of ITEPA 2003 or equivalent legislation in any jurisdiction and to comply with any obligation to make a deduction in respect of employee social security contributions in any jurisdiction;</w:t>
      </w:r>
    </w:p>
    <w:p>
      <w:pPr>
        <w:spacing w:after="0" w:line="133"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i w:val="1"/>
          <w:iCs w:val="1"/>
          <w:color w:val="auto"/>
        </w:rPr>
        <w:t xml:space="preserve">ITEPA 2003 </w:t>
      </w:r>
      <w:r>
        <w:rPr>
          <w:rFonts w:ascii="Verdana" w:cs="Verdana" w:eastAsia="Verdana" w:hAnsi="Verdana"/>
          <w:sz w:val="18"/>
          <w:szCs w:val="18"/>
          <w:color w:val="auto"/>
        </w:rPr>
        <w:t>means the Income Tax (Earnings and Pensions) Act 2003;</w:t>
      </w:r>
    </w:p>
    <w:p>
      <w:pPr>
        <w:spacing w:after="0" w:line="227" w:lineRule="exact"/>
        <w:rPr>
          <w:sz w:val="20"/>
          <w:szCs w:val="20"/>
          <w:color w:val="auto"/>
        </w:rPr>
      </w:pPr>
    </w:p>
    <w:p>
      <w:pPr>
        <w:jc w:val="both"/>
        <w:ind w:left="660"/>
        <w:spacing w:after="0" w:line="284" w:lineRule="auto"/>
        <w:rPr>
          <w:sz w:val="20"/>
          <w:szCs w:val="20"/>
          <w:color w:val="auto"/>
        </w:rPr>
      </w:pPr>
      <w:r>
        <w:rPr>
          <w:rFonts w:ascii="Verdana" w:cs="Verdana" w:eastAsia="Verdana" w:hAnsi="Verdana"/>
          <w:sz w:val="18"/>
          <w:szCs w:val="18"/>
          <w:b w:val="1"/>
          <w:bCs w:val="1"/>
          <w:i w:val="1"/>
          <w:iCs w:val="1"/>
          <w:color w:val="auto"/>
        </w:rPr>
        <w:t xml:space="preserve">Service Agreement </w:t>
      </w:r>
      <w:r>
        <w:rPr>
          <w:rFonts w:ascii="Verdana" w:cs="Verdana" w:eastAsia="Verdana" w:hAnsi="Verdana"/>
          <w:sz w:val="18"/>
          <w:szCs w:val="18"/>
          <w:color w:val="auto"/>
        </w:rPr>
        <w:t>means the service agreement dated 8 May 2023 as amended from time to time (including</w:t>
      </w:r>
      <w:r>
        <w:rPr>
          <w:rFonts w:ascii="Verdana" w:cs="Verdana" w:eastAsia="Verdana" w:hAnsi="Verdana"/>
          <w:sz w:val="18"/>
          <w:szCs w:val="18"/>
          <w:b w:val="1"/>
          <w:bCs w:val="1"/>
          <w:i w:val="1"/>
          <w:iCs w:val="1"/>
          <w:color w:val="auto"/>
        </w:rPr>
        <w:t xml:space="preserve"> </w:t>
      </w:r>
      <w:r>
        <w:rPr>
          <w:rFonts w:ascii="Verdana" w:cs="Verdana" w:eastAsia="Verdana" w:hAnsi="Verdana"/>
          <w:sz w:val="18"/>
          <w:szCs w:val="18"/>
          <w:color w:val="auto"/>
        </w:rPr>
        <w:t>pursuant to a letter dated 19 August 2024); and</w:t>
      </w:r>
    </w:p>
    <w:p>
      <w:pPr>
        <w:spacing w:after="0" w:line="144" w:lineRule="exact"/>
        <w:rPr>
          <w:sz w:val="20"/>
          <w:szCs w:val="20"/>
          <w:color w:val="auto"/>
        </w:rPr>
      </w:pPr>
    </w:p>
    <w:p>
      <w:pPr>
        <w:ind w:left="660"/>
        <w:spacing w:after="0"/>
        <w:rPr>
          <w:sz w:val="20"/>
          <w:szCs w:val="20"/>
          <w:color w:val="auto"/>
        </w:rPr>
      </w:pPr>
      <w:r>
        <w:rPr>
          <w:rFonts w:ascii="Verdana" w:cs="Verdana" w:eastAsia="Verdana" w:hAnsi="Verdana"/>
          <w:sz w:val="18"/>
          <w:szCs w:val="18"/>
          <w:b w:val="1"/>
          <w:bCs w:val="1"/>
          <w:i w:val="1"/>
          <w:iCs w:val="1"/>
          <w:color w:val="auto"/>
        </w:rPr>
        <w:t xml:space="preserve">Termination Date </w:t>
      </w:r>
      <w:r>
        <w:rPr>
          <w:rFonts w:ascii="Verdana" w:cs="Verdana" w:eastAsia="Verdana" w:hAnsi="Verdana"/>
          <w:sz w:val="18"/>
          <w:szCs w:val="18"/>
          <w:color w:val="auto"/>
        </w:rPr>
        <w:t>means 31 December 2026.</w:t>
      </w:r>
    </w:p>
    <w:p>
      <w:pPr>
        <w:spacing w:after="0" w:line="254" w:lineRule="exact"/>
        <w:rPr>
          <w:sz w:val="20"/>
          <w:szCs w:val="20"/>
          <w:color w:val="auto"/>
        </w:rPr>
      </w:pPr>
    </w:p>
    <w:p>
      <w:pPr>
        <w:ind w:left="640" w:hanging="632"/>
        <w:spacing w:after="0"/>
        <w:tabs>
          <w:tab w:leader="none" w:pos="640" w:val="left"/>
        </w:tabs>
        <w:numPr>
          <w:ilvl w:val="0"/>
          <w:numId w:val="3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TERMINATION OF EMPLOYMENT</w:t>
      </w:r>
    </w:p>
    <w:p>
      <w:pPr>
        <w:spacing w:after="0" w:line="186" w:lineRule="exact"/>
        <w:rPr>
          <w:sz w:val="20"/>
          <w:szCs w:val="20"/>
          <w:color w:val="auto"/>
        </w:rPr>
      </w:pPr>
    </w:p>
    <w:p>
      <w:pPr>
        <w:ind w:left="660" w:hanging="647"/>
        <w:spacing w:after="0" w:line="299" w:lineRule="auto"/>
        <w:tabs>
          <w:tab w:leader="none" w:pos="640" w:val="left"/>
        </w:tabs>
        <w:rPr>
          <w:sz w:val="20"/>
          <w:szCs w:val="20"/>
          <w:color w:val="auto"/>
        </w:rPr>
      </w:pPr>
      <w:r>
        <w:rPr>
          <w:rFonts w:ascii="Verdana" w:cs="Verdana" w:eastAsia="Verdana" w:hAnsi="Verdana"/>
          <w:sz w:val="18"/>
          <w:szCs w:val="18"/>
          <w:color w:val="auto"/>
        </w:rPr>
        <w:t>2.1</w:t>
      </w:r>
      <w:r>
        <w:rPr>
          <w:sz w:val="20"/>
          <w:szCs w:val="20"/>
          <w:color w:val="auto"/>
        </w:rPr>
        <w:tab/>
      </w:r>
      <w:r>
        <w:rPr>
          <w:rFonts w:ascii="Verdana" w:cs="Verdana" w:eastAsia="Verdana" w:hAnsi="Verdana"/>
          <w:sz w:val="18"/>
          <w:szCs w:val="18"/>
          <w:color w:val="auto"/>
        </w:rPr>
        <w:t>The Employee’s employment with the Company will end on the Termination Date. The Employee shall retain his position as Chief Executive Officer of the Group and</w:t>
      </w:r>
    </w:p>
    <w:p>
      <w:pPr>
        <w:spacing w:after="0" w:line="157" w:lineRule="exact"/>
        <w:rPr>
          <w:sz w:val="20"/>
          <w:szCs w:val="20"/>
          <w:color w:val="auto"/>
        </w:rPr>
      </w:pPr>
    </w:p>
    <w:p>
      <w:pPr>
        <w:ind w:left="180"/>
        <w:spacing w:after="0"/>
        <w:rPr>
          <w:sz w:val="20"/>
          <w:szCs w:val="20"/>
          <w:color w:val="auto"/>
        </w:rPr>
      </w:pPr>
      <w:r>
        <w:rPr>
          <w:rFonts w:ascii="Verdana" w:cs="Verdana" w:eastAsia="Verdana" w:hAnsi="Verdana"/>
          <w:sz w:val="13"/>
          <w:szCs w:val="13"/>
          <w:color w:val="auto"/>
        </w:rPr>
        <w:t>2ï2</w:t>
      </w:r>
    </w:p>
    <w:p>
      <w:pPr>
        <w:spacing w:after="0" w:line="126"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20" w:lineRule="exact"/>
        <w:rPr>
          <w:sz w:val="20"/>
          <w:szCs w:val="20"/>
          <w:color w:val="auto"/>
        </w:rPr>
      </w:pPr>
    </w:p>
    <w:p>
      <w:pPr>
        <w:jc w:val="both"/>
        <w:ind w:left="652"/>
        <w:spacing w:after="0" w:line="282" w:lineRule="auto"/>
        <w:rPr>
          <w:sz w:val="20"/>
          <w:szCs w:val="20"/>
          <w:color w:val="auto"/>
        </w:rPr>
      </w:pPr>
      <w:r>
        <w:rPr>
          <w:rFonts w:ascii="Verdana" w:cs="Verdana" w:eastAsia="Verdana" w:hAnsi="Verdana"/>
          <w:sz w:val="18"/>
          <w:szCs w:val="18"/>
          <w:color w:val="auto"/>
        </w:rPr>
        <w:t>continue to work as normal in that capacity until 30 September 2026. From 1 October 2026, the Employee’s 12 month notice period shall commence, and he shall step down from his position as Chief Executive Officer and until the Termination Date shall provide advisory services to the Company and Flutter Entertainment plc, including a full handover to his successor.</w:t>
      </w:r>
    </w:p>
    <w:p>
      <w:pPr>
        <w:spacing w:after="0" w:line="146"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Verdana" w:cs="Verdana" w:eastAsia="Verdana" w:hAnsi="Verdana"/>
          <w:sz w:val="18"/>
          <w:szCs w:val="18"/>
          <w:color w:val="auto"/>
        </w:rPr>
        <w:t>2.2</w:t>
      </w:r>
      <w:r>
        <w:rPr>
          <w:sz w:val="20"/>
          <w:szCs w:val="20"/>
          <w:color w:val="auto"/>
        </w:rPr>
        <w:tab/>
      </w:r>
      <w:r>
        <w:rPr>
          <w:rFonts w:ascii="Verdana" w:cs="Verdana" w:eastAsia="Verdana" w:hAnsi="Verdana"/>
          <w:sz w:val="18"/>
          <w:szCs w:val="18"/>
          <w:color w:val="auto"/>
        </w:rPr>
        <w:t>The Employee’s salary will be paid and contractual benefits will be provided up to the Termination Date in the normal way. The Employee will be paid for any accrued but untaken holiday as at the Termination Date. All payments shall be made less any PAYE Deductions.</w:t>
      </w:r>
    </w:p>
    <w:p>
      <w:pPr>
        <w:spacing w:after="0" w:line="201" w:lineRule="exact"/>
        <w:rPr>
          <w:sz w:val="20"/>
          <w:szCs w:val="20"/>
          <w:color w:val="auto"/>
        </w:rPr>
      </w:pPr>
    </w:p>
    <w:p>
      <w:pPr>
        <w:ind w:left="632" w:hanging="632"/>
        <w:spacing w:after="0"/>
        <w:tabs>
          <w:tab w:leader="none" w:pos="632" w:val="left"/>
        </w:tabs>
        <w:numPr>
          <w:ilvl w:val="0"/>
          <w:numId w:val="39"/>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PAYMENTS</w:t>
      </w:r>
    </w:p>
    <w:p>
      <w:pPr>
        <w:spacing w:after="0" w:line="186" w:lineRule="exact"/>
        <w:rPr>
          <w:sz w:val="20"/>
          <w:szCs w:val="20"/>
          <w:color w:val="auto"/>
        </w:rPr>
      </w:pPr>
    </w:p>
    <w:p>
      <w:pPr>
        <w:jc w:val="both"/>
        <w:ind w:left="652" w:hanging="647"/>
        <w:spacing w:after="0" w:line="279" w:lineRule="auto"/>
        <w:tabs>
          <w:tab w:leader="none" w:pos="632" w:val="left"/>
        </w:tabs>
        <w:rPr>
          <w:sz w:val="20"/>
          <w:szCs w:val="20"/>
          <w:color w:val="auto"/>
        </w:rPr>
      </w:pPr>
      <w:r>
        <w:rPr>
          <w:rFonts w:ascii="Verdana" w:cs="Verdana" w:eastAsia="Verdana" w:hAnsi="Verdana"/>
          <w:sz w:val="18"/>
          <w:szCs w:val="18"/>
          <w:color w:val="auto"/>
        </w:rPr>
        <w:t>3.1</w:t>
      </w:r>
      <w:r>
        <w:rPr>
          <w:sz w:val="20"/>
          <w:szCs w:val="20"/>
          <w:color w:val="auto"/>
        </w:rPr>
        <w:tab/>
      </w:r>
      <w:r>
        <w:rPr>
          <w:rFonts w:ascii="Verdana" w:cs="Verdana" w:eastAsia="Verdana" w:hAnsi="Verdana"/>
          <w:sz w:val="18"/>
          <w:szCs w:val="18"/>
          <w:color w:val="auto"/>
        </w:rPr>
        <w:t>Provided the Employee complies in all material respects with Clauses 5, 7, 8, 12, 13 and 15 of this Agreement and subject to the remainder of this Clause 3, the Company agrees, without any admission of liability, to the payments and arrangements set out in paragraphs (a) to (j) below. For the purposes of assessing the Employee’s compliance with Clauses 8, 12 and 13, any breach that has not caused, and is not reasonably likely to cause, substantial financial and/or reputational damage to the Group’s business or to any member of the board of directors of Flutter Entertainment plc or its Executive Committee (being, Rob Coldrake, Dan Taylor, Phil Bishop, Don Liu), shall be disregarded.</w:t>
      </w:r>
    </w:p>
    <w:p>
      <w:pPr>
        <w:spacing w:after="0" w:line="150" w:lineRule="exact"/>
        <w:rPr>
          <w:sz w:val="20"/>
          <w:szCs w:val="20"/>
          <w:color w:val="auto"/>
        </w:rPr>
      </w:pPr>
    </w:p>
    <w:p>
      <w:pPr>
        <w:ind w:left="1292" w:hanging="644"/>
        <w:spacing w:after="0"/>
        <w:tabs>
          <w:tab w:leader="none" w:pos="1292" w:val="left"/>
        </w:tabs>
        <w:numPr>
          <w:ilvl w:val="0"/>
          <w:numId w:val="40"/>
        </w:numPr>
        <w:rPr>
          <w:rFonts w:ascii="Verdana" w:cs="Verdana" w:eastAsia="Verdana" w:hAnsi="Verdana"/>
          <w:sz w:val="18"/>
          <w:szCs w:val="18"/>
          <w:color w:val="auto"/>
        </w:rPr>
      </w:pPr>
      <w:r>
        <w:rPr>
          <w:rFonts w:ascii="Verdana" w:cs="Verdana" w:eastAsia="Verdana" w:hAnsi="Verdana"/>
          <w:sz w:val="18"/>
          <w:szCs w:val="18"/>
          <w:color w:val="auto"/>
        </w:rPr>
        <w:t>within 28 days of the later of (i) the Termination Date and (ii) the date of receipt by the Company of a copy</w:t>
      </w:r>
    </w:p>
    <w:p>
      <w:pPr>
        <w:spacing w:after="0" w:line="37" w:lineRule="exact"/>
        <w:rPr>
          <w:rFonts w:ascii="Verdana" w:cs="Verdana" w:eastAsia="Verdana" w:hAnsi="Verdana"/>
          <w:sz w:val="18"/>
          <w:szCs w:val="18"/>
          <w:color w:val="auto"/>
        </w:rPr>
      </w:pPr>
    </w:p>
    <w:p>
      <w:pPr>
        <w:ind w:left="1292" w:right="20"/>
        <w:spacing w:after="0" w:line="284" w:lineRule="auto"/>
        <w:rPr>
          <w:rFonts w:ascii="Verdana" w:cs="Verdana" w:eastAsia="Verdana" w:hAnsi="Verdana"/>
          <w:sz w:val="18"/>
          <w:szCs w:val="18"/>
          <w:color w:val="auto"/>
        </w:rPr>
      </w:pPr>
      <w:r>
        <w:rPr>
          <w:rFonts w:ascii="Verdana" w:cs="Verdana" w:eastAsia="Verdana" w:hAnsi="Verdana"/>
          <w:sz w:val="18"/>
          <w:szCs w:val="18"/>
          <w:color w:val="auto"/>
        </w:rPr>
        <w:t>of this Agreement and the reaffirmation certificate signed by the Employee and the attached certificates completed by him and his legal adviser the Company will pay to the Employee;</w:t>
      </w:r>
    </w:p>
    <w:p>
      <w:pPr>
        <w:spacing w:after="0" w:line="143" w:lineRule="exact"/>
        <w:rPr>
          <w:rFonts w:ascii="Verdana" w:cs="Verdana" w:eastAsia="Verdana" w:hAnsi="Verdana"/>
          <w:sz w:val="18"/>
          <w:szCs w:val="18"/>
          <w:color w:val="auto"/>
        </w:rPr>
      </w:pPr>
    </w:p>
    <w:p>
      <w:pPr>
        <w:jc w:val="both"/>
        <w:ind w:left="1952" w:hanging="656"/>
        <w:spacing w:after="0" w:line="276" w:lineRule="auto"/>
        <w:tabs>
          <w:tab w:leader="none" w:pos="1949" w:val="left"/>
        </w:tabs>
        <w:numPr>
          <w:ilvl w:val="1"/>
          <w:numId w:val="40"/>
        </w:numPr>
        <w:rPr>
          <w:rFonts w:ascii="Verdana" w:cs="Verdana" w:eastAsia="Verdana" w:hAnsi="Verdana"/>
          <w:sz w:val="18"/>
          <w:szCs w:val="18"/>
          <w:color w:val="auto"/>
        </w:rPr>
      </w:pPr>
      <w:r>
        <w:rPr>
          <w:rFonts w:ascii="Verdana" w:cs="Verdana" w:eastAsia="Verdana" w:hAnsi="Verdana"/>
          <w:sz w:val="18"/>
          <w:szCs w:val="18"/>
          <w:color w:val="auto"/>
        </w:rPr>
        <w:t>a lump sum payment in lieu of notice in respect of the remainder of his 12 month notice period of $1,108,673 in respect of base salary, $55,434 in respect of pension contributions and £6,488 in respect of benefits (excluding private medical insurance), in each case less any PAYE Deductions (the</w:t>
      </w:r>
    </w:p>
    <w:p>
      <w:pPr>
        <w:spacing w:after="0" w:line="1" w:lineRule="exact"/>
        <w:rPr>
          <w:rFonts w:ascii="Verdana" w:cs="Verdana" w:eastAsia="Verdana" w:hAnsi="Verdana"/>
          <w:sz w:val="18"/>
          <w:szCs w:val="18"/>
          <w:color w:val="auto"/>
        </w:rPr>
      </w:pPr>
    </w:p>
    <w:p>
      <w:pPr>
        <w:jc w:val="both"/>
        <w:ind w:left="1952"/>
        <w:spacing w:after="0" w:line="282" w:lineRule="auto"/>
        <w:rPr>
          <w:rFonts w:ascii="Verdana" w:cs="Verdana" w:eastAsia="Verdana" w:hAnsi="Verdana"/>
          <w:sz w:val="18"/>
          <w:szCs w:val="18"/>
          <w:color w:val="auto"/>
        </w:rPr>
      </w:pPr>
      <w:r>
        <w:rPr>
          <w:rFonts w:ascii="Verdana" w:cs="Verdana" w:eastAsia="Verdana" w:hAnsi="Verdana"/>
          <w:sz w:val="18"/>
          <w:szCs w:val="18"/>
          <w:color w:val="auto"/>
        </w:rPr>
        <w:t>parties agree that the amount of the payment in lieu is equal to or exceeds the amount given by the formula in section 402D(1) of ITEPA and, accordingly, believe but do not warrant that the Employee’s post-employment notice pay is nil); and</w:t>
      </w:r>
    </w:p>
    <w:p>
      <w:pPr>
        <w:spacing w:after="0" w:line="146" w:lineRule="exact"/>
        <w:rPr>
          <w:rFonts w:ascii="Verdana" w:cs="Verdana" w:eastAsia="Verdana" w:hAnsi="Verdana"/>
          <w:sz w:val="18"/>
          <w:szCs w:val="18"/>
          <w:color w:val="auto"/>
        </w:rPr>
      </w:pPr>
    </w:p>
    <w:p>
      <w:pPr>
        <w:jc w:val="both"/>
        <w:ind w:left="1952" w:hanging="656"/>
        <w:spacing w:after="0" w:line="276" w:lineRule="auto"/>
        <w:tabs>
          <w:tab w:leader="none" w:pos="1944" w:val="left"/>
        </w:tabs>
        <w:numPr>
          <w:ilvl w:val="1"/>
          <w:numId w:val="40"/>
        </w:numPr>
        <w:rPr>
          <w:rFonts w:ascii="Verdana" w:cs="Verdana" w:eastAsia="Verdana" w:hAnsi="Verdana"/>
          <w:sz w:val="18"/>
          <w:szCs w:val="18"/>
          <w:color w:val="auto"/>
        </w:rPr>
      </w:pPr>
      <w:r>
        <w:rPr>
          <w:rFonts w:ascii="Verdana" w:cs="Verdana" w:eastAsia="Verdana" w:hAnsi="Verdana"/>
          <w:sz w:val="18"/>
          <w:szCs w:val="18"/>
          <w:color w:val="auto"/>
        </w:rPr>
        <w:t>$390,198 in compensation for the termination of the Employee’s employment, and the parties believe but do not warrant that the US dollar equivalent of £30,000 can be paid to the Employee without deduction of income tax and national insurance contributions as a termination award under the</w:t>
      </w:r>
    </w:p>
    <w:p>
      <w:pPr>
        <w:spacing w:after="0" w:line="1" w:lineRule="exact"/>
        <w:rPr>
          <w:rFonts w:ascii="Verdana" w:cs="Verdana" w:eastAsia="Verdana" w:hAnsi="Verdana"/>
          <w:sz w:val="18"/>
          <w:szCs w:val="18"/>
          <w:color w:val="auto"/>
        </w:rPr>
      </w:pPr>
    </w:p>
    <w:p>
      <w:pPr>
        <w:ind w:left="1952"/>
        <w:spacing w:after="0" w:line="284" w:lineRule="auto"/>
        <w:rPr>
          <w:rFonts w:ascii="Verdana" w:cs="Verdana" w:eastAsia="Verdana" w:hAnsi="Verdana"/>
          <w:sz w:val="18"/>
          <w:szCs w:val="18"/>
          <w:color w:val="auto"/>
        </w:rPr>
      </w:pPr>
      <w:r>
        <w:rPr>
          <w:rFonts w:ascii="Verdana" w:cs="Verdana" w:eastAsia="Verdana" w:hAnsi="Verdana"/>
          <w:sz w:val="18"/>
          <w:szCs w:val="18"/>
          <w:color w:val="auto"/>
        </w:rPr>
        <w:t>£30,000 threshold within the meaning of Sections 402A(1) and 403 of ITEPA 2003, and income tax shall be deducted from the remainder at the applicable rate.</w:t>
      </w:r>
    </w:p>
    <w:p>
      <w:pPr>
        <w:spacing w:after="0" w:line="143" w:lineRule="exact"/>
        <w:rPr>
          <w:rFonts w:ascii="Verdana" w:cs="Verdana" w:eastAsia="Verdana" w:hAnsi="Verdana"/>
          <w:sz w:val="18"/>
          <w:szCs w:val="18"/>
          <w:color w:val="auto"/>
        </w:rPr>
      </w:pPr>
    </w:p>
    <w:p>
      <w:pPr>
        <w:ind w:left="1292" w:hanging="644"/>
        <w:spacing w:after="0"/>
        <w:tabs>
          <w:tab w:leader="none" w:pos="1292" w:val="left"/>
        </w:tabs>
        <w:numPr>
          <w:ilvl w:val="0"/>
          <w:numId w:val="40"/>
        </w:numPr>
        <w:rPr>
          <w:rFonts w:ascii="Verdana" w:cs="Verdana" w:eastAsia="Verdana" w:hAnsi="Verdana"/>
          <w:sz w:val="18"/>
          <w:szCs w:val="18"/>
          <w:color w:val="auto"/>
        </w:rPr>
      </w:pPr>
      <w:r>
        <w:rPr>
          <w:rFonts w:ascii="Verdana" w:cs="Verdana" w:eastAsia="Verdana" w:hAnsi="Verdana"/>
          <w:sz w:val="18"/>
          <w:szCs w:val="18"/>
          <w:color w:val="auto"/>
        </w:rPr>
        <w:t>the Company will use its reasonable endeavours to arrange for the Employee’s current private medical</w:t>
      </w:r>
    </w:p>
    <w:p>
      <w:pPr>
        <w:spacing w:after="0" w:line="37" w:lineRule="exact"/>
        <w:rPr>
          <w:rFonts w:ascii="Verdana" w:cs="Verdana" w:eastAsia="Verdana" w:hAnsi="Verdana"/>
          <w:sz w:val="18"/>
          <w:szCs w:val="18"/>
          <w:color w:val="auto"/>
        </w:rPr>
      </w:pPr>
    </w:p>
    <w:p>
      <w:pPr>
        <w:ind w:left="1292"/>
        <w:spacing w:after="0" w:line="284" w:lineRule="auto"/>
        <w:rPr>
          <w:rFonts w:ascii="Verdana" w:cs="Verdana" w:eastAsia="Verdana" w:hAnsi="Verdana"/>
          <w:sz w:val="18"/>
          <w:szCs w:val="18"/>
          <w:color w:val="auto"/>
        </w:rPr>
      </w:pPr>
      <w:r>
        <w:rPr>
          <w:rFonts w:ascii="Verdana" w:cs="Verdana" w:eastAsia="Verdana" w:hAnsi="Verdana"/>
          <w:sz w:val="18"/>
          <w:szCs w:val="18"/>
          <w:color w:val="auto"/>
        </w:rPr>
        <w:t>insurance benefit to continue until 31 December 2027 and, if this is not practicable as at the Termination Date, it</w:t>
      </w:r>
    </w:p>
    <w:p>
      <w:pPr>
        <w:spacing w:after="0" w:line="185" w:lineRule="exact"/>
        <w:rPr>
          <w:sz w:val="20"/>
          <w:szCs w:val="20"/>
          <w:color w:val="auto"/>
        </w:rPr>
      </w:pPr>
    </w:p>
    <w:p>
      <w:pPr>
        <w:ind w:left="172"/>
        <w:spacing w:after="0"/>
        <w:rPr>
          <w:sz w:val="20"/>
          <w:szCs w:val="20"/>
          <w:color w:val="auto"/>
        </w:rPr>
      </w:pPr>
      <w:r>
        <w:rPr>
          <w:rFonts w:ascii="Verdana" w:cs="Verdana" w:eastAsia="Verdana" w:hAnsi="Verdana"/>
          <w:sz w:val="13"/>
          <w:szCs w:val="13"/>
          <w:color w:val="auto"/>
        </w:rPr>
        <w:t>3ï2</w:t>
      </w:r>
    </w:p>
    <w:p>
      <w:pPr>
        <w:spacing w:after="0" w:line="112" w:lineRule="exact"/>
        <w:rPr>
          <w:sz w:val="20"/>
          <w:szCs w:val="20"/>
          <w:color w:val="auto"/>
        </w:rPr>
      </w:pPr>
    </w:p>
    <w:p>
      <w:pPr>
        <w:ind w:left="12"/>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32"/>
          </w:cols>
          <w:pgMar w:left="328" w:top="1440" w:right="339" w:bottom="1440" w:gutter="0" w:footer="0" w:header="0"/>
        </w:sectPr>
      </w:pPr>
    </w:p>
    <w:bookmarkStart w:id="71" w:name="page72"/>
    <w:bookmarkEnd w:id="71"/>
    <w:p>
      <w:pPr>
        <w:spacing w:after="0" w:line="220" w:lineRule="exact"/>
        <w:rPr>
          <w:sz w:val="20"/>
          <w:szCs w:val="20"/>
          <w:color w:val="auto"/>
        </w:rPr>
      </w:pPr>
    </w:p>
    <w:p>
      <w:pPr>
        <w:ind w:left="1280"/>
        <w:spacing w:after="0" w:line="299" w:lineRule="auto"/>
        <w:rPr>
          <w:sz w:val="20"/>
          <w:szCs w:val="20"/>
          <w:color w:val="auto"/>
        </w:rPr>
      </w:pPr>
      <w:r>
        <w:rPr>
          <w:rFonts w:ascii="Verdana" w:cs="Verdana" w:eastAsia="Verdana" w:hAnsi="Verdana"/>
          <w:sz w:val="18"/>
          <w:szCs w:val="18"/>
          <w:color w:val="auto"/>
        </w:rPr>
        <w:t>will increase the payment in lieu by £4,150 in respect of benefits referred to in Clause 3.1(a) to reflect the cost to the Company of 12 months premium for such coverage;</w:t>
      </w:r>
    </w:p>
    <w:p>
      <w:pPr>
        <w:spacing w:after="0" w:line="116" w:lineRule="exact"/>
        <w:rPr>
          <w:sz w:val="20"/>
          <w:szCs w:val="20"/>
          <w:color w:val="auto"/>
        </w:rPr>
      </w:pPr>
    </w:p>
    <w:p>
      <w:pPr>
        <w:jc w:val="both"/>
        <w:ind w:left="1280" w:hanging="644"/>
        <w:spacing w:after="0" w:line="281" w:lineRule="auto"/>
        <w:tabs>
          <w:tab w:leader="none" w:pos="1267"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subject to production of valid invoices addressed to the Employee but marked payable by the Company, the Company will pay a maximum of £65,000 plus VAT direct to the Employee’s professional advisers, towards</w:t>
      </w:r>
    </w:p>
    <w:p>
      <w:pPr>
        <w:jc w:val="both"/>
        <w:ind w:left="1280"/>
        <w:spacing w:after="0" w:line="282" w:lineRule="auto"/>
        <w:rPr>
          <w:rFonts w:ascii="Verdana" w:cs="Verdana" w:eastAsia="Verdana" w:hAnsi="Verdana"/>
          <w:sz w:val="18"/>
          <w:szCs w:val="18"/>
          <w:color w:val="auto"/>
        </w:rPr>
      </w:pPr>
      <w:r>
        <w:rPr>
          <w:rFonts w:ascii="Verdana" w:cs="Verdana" w:eastAsia="Verdana" w:hAnsi="Verdana"/>
          <w:sz w:val="18"/>
          <w:szCs w:val="18"/>
          <w:color w:val="auto"/>
        </w:rPr>
        <w:t>the professional fees which the Employee incurred directly in connection with the termination of his employment (save that for any advisor fees that are in respect of public relations advice, this payment obligation shall apply at the Company’s sole discretion), less any PAYE Deductions in respect of any fees other than those payable pursuant to s413A ITEPA 2003;</w:t>
      </w:r>
    </w:p>
    <w:p>
      <w:pPr>
        <w:spacing w:after="0" w:line="132" w:lineRule="exact"/>
        <w:rPr>
          <w:rFonts w:ascii="Verdana" w:cs="Verdana" w:eastAsia="Verdana" w:hAnsi="Verdana"/>
          <w:sz w:val="18"/>
          <w:szCs w:val="18"/>
          <w:color w:val="auto"/>
        </w:rPr>
      </w:pPr>
    </w:p>
    <w:p>
      <w:pPr>
        <w:jc w:val="both"/>
        <w:ind w:left="1280" w:hanging="644"/>
        <w:spacing w:after="0" w:line="281" w:lineRule="auto"/>
        <w:tabs>
          <w:tab w:leader="none" w:pos="1272"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the Company will arrange and pay for reasonable personal tax return support and reasonable advice in respect of the Employee’s US, UK and Irish tax returns in connection with his employment and the vesting of</w:t>
      </w:r>
    </w:p>
    <w:p>
      <w:pPr>
        <w:jc w:val="both"/>
        <w:ind w:left="1280"/>
        <w:spacing w:after="0" w:line="276" w:lineRule="auto"/>
        <w:rPr>
          <w:rFonts w:ascii="Verdana" w:cs="Verdana" w:eastAsia="Verdana" w:hAnsi="Verdana"/>
          <w:sz w:val="18"/>
          <w:szCs w:val="18"/>
          <w:color w:val="auto"/>
        </w:rPr>
      </w:pPr>
      <w:r>
        <w:rPr>
          <w:rFonts w:ascii="Verdana" w:cs="Verdana" w:eastAsia="Verdana" w:hAnsi="Verdana"/>
          <w:sz w:val="18"/>
          <w:szCs w:val="18"/>
          <w:color w:val="auto"/>
        </w:rPr>
        <w:t>his share awards referred to in this Agreement (and excluding for the avoidance of doubt any general personal tax advisory or planning services), to be provided by the Company’s tax advisers, including the preparation of all necessary tax returns, for all tax periods relevant to payments that the Employee receives</w:t>
      </w:r>
    </w:p>
    <w:p>
      <w:pPr>
        <w:spacing w:after="0" w:line="1" w:lineRule="exact"/>
        <w:rPr>
          <w:rFonts w:ascii="Verdana" w:cs="Verdana" w:eastAsia="Verdana" w:hAnsi="Verdana"/>
          <w:sz w:val="18"/>
          <w:szCs w:val="18"/>
          <w:color w:val="auto"/>
        </w:rPr>
      </w:pPr>
    </w:p>
    <w:p>
      <w:pPr>
        <w:ind w:left="1280"/>
        <w:spacing w:after="0" w:line="284" w:lineRule="auto"/>
        <w:rPr>
          <w:rFonts w:ascii="Verdana" w:cs="Verdana" w:eastAsia="Verdana" w:hAnsi="Verdana"/>
          <w:sz w:val="18"/>
          <w:szCs w:val="18"/>
          <w:color w:val="auto"/>
        </w:rPr>
      </w:pPr>
      <w:r>
        <w:rPr>
          <w:rFonts w:ascii="Verdana" w:cs="Verdana" w:eastAsia="Verdana" w:hAnsi="Verdana"/>
          <w:sz w:val="18"/>
          <w:szCs w:val="18"/>
          <w:color w:val="auto"/>
        </w:rPr>
        <w:t>from the Group. The Employee will comply with the adviser’s reasonable tax return timetable when providing information required to finalise his tax returns;</w:t>
      </w:r>
    </w:p>
    <w:p>
      <w:pPr>
        <w:spacing w:after="0" w:line="143" w:lineRule="exact"/>
        <w:rPr>
          <w:rFonts w:ascii="Verdana" w:cs="Verdana" w:eastAsia="Verdana" w:hAnsi="Verdana"/>
          <w:sz w:val="18"/>
          <w:szCs w:val="18"/>
          <w:color w:val="auto"/>
        </w:rPr>
      </w:pPr>
    </w:p>
    <w:p>
      <w:pPr>
        <w:ind w:left="1280" w:hanging="644"/>
        <w:spacing w:after="0"/>
        <w:tabs>
          <w:tab w:leader="none" w:pos="1280"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in respect of the 2026 financial year, the Employee will remain eligible for a bonus under and in accordance</w:t>
      </w:r>
    </w:p>
    <w:p>
      <w:pPr>
        <w:spacing w:after="0" w:line="37" w:lineRule="exact"/>
        <w:rPr>
          <w:rFonts w:ascii="Verdana" w:cs="Verdana" w:eastAsia="Verdana" w:hAnsi="Verdana"/>
          <w:sz w:val="18"/>
          <w:szCs w:val="18"/>
          <w:color w:val="auto"/>
        </w:rPr>
      </w:pPr>
    </w:p>
    <w:p>
      <w:pPr>
        <w:jc w:val="both"/>
        <w:ind w:left="1280"/>
        <w:spacing w:after="0" w:line="273" w:lineRule="auto"/>
        <w:rPr>
          <w:rFonts w:ascii="Verdana" w:cs="Verdana" w:eastAsia="Verdana" w:hAnsi="Verdana"/>
          <w:sz w:val="18"/>
          <w:szCs w:val="18"/>
          <w:color w:val="auto"/>
        </w:rPr>
      </w:pPr>
      <w:r>
        <w:rPr>
          <w:rFonts w:ascii="Verdana" w:cs="Verdana" w:eastAsia="Verdana" w:hAnsi="Verdana"/>
          <w:sz w:val="18"/>
          <w:szCs w:val="18"/>
          <w:color w:val="auto"/>
        </w:rPr>
        <w:t>with the terms of the discretionary Group bonus plan of up to 400% of the Employee’s base salary. Any such bonus will be calculated based on the Company’s achievement against the 2026 performance targets set and</w:t>
      </w:r>
    </w:p>
    <w:p>
      <w:pPr>
        <w:spacing w:after="0" w:line="1" w:lineRule="exact"/>
        <w:rPr>
          <w:rFonts w:ascii="Verdana" w:cs="Verdana" w:eastAsia="Verdana" w:hAnsi="Verdana"/>
          <w:sz w:val="18"/>
          <w:szCs w:val="18"/>
          <w:color w:val="auto"/>
        </w:rPr>
      </w:pPr>
    </w:p>
    <w:p>
      <w:pPr>
        <w:jc w:val="both"/>
        <w:ind w:left="1280"/>
        <w:spacing w:after="0" w:line="282" w:lineRule="auto"/>
        <w:rPr>
          <w:rFonts w:ascii="Verdana" w:cs="Verdana" w:eastAsia="Verdana" w:hAnsi="Verdana"/>
          <w:sz w:val="18"/>
          <w:szCs w:val="18"/>
          <w:color w:val="auto"/>
        </w:rPr>
      </w:pPr>
      <w:r>
        <w:rPr>
          <w:rFonts w:ascii="Verdana" w:cs="Verdana" w:eastAsia="Verdana" w:hAnsi="Verdana"/>
          <w:sz w:val="18"/>
          <w:szCs w:val="18"/>
          <w:color w:val="auto"/>
        </w:rPr>
        <w:t>the outcome approved by the Compensation &amp; HR Committee taking into account all adjustments, whether to the performance targets or bonus outturn, including for luck, tax and regulatory matters or otherwise. Any bonus will be paid fully in cash (less any PAYE Deductions) at the same time as any current-year bonuses are normally paid to executive directors of Flutter Entertainment plc;</w:t>
      </w:r>
    </w:p>
    <w:p>
      <w:pPr>
        <w:spacing w:after="0" w:line="132" w:lineRule="exact"/>
        <w:rPr>
          <w:rFonts w:ascii="Verdana" w:cs="Verdana" w:eastAsia="Verdana" w:hAnsi="Verdana"/>
          <w:sz w:val="18"/>
          <w:szCs w:val="18"/>
          <w:color w:val="auto"/>
        </w:rPr>
      </w:pPr>
    </w:p>
    <w:p>
      <w:pPr>
        <w:ind w:left="1280" w:hanging="644"/>
        <w:spacing w:after="0" w:line="299" w:lineRule="auto"/>
        <w:tabs>
          <w:tab w:leader="none" w:pos="1286"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the Employee’s existing share awards under the Deferred Share Incentive Plan will vest as soon as practicable following the Termination Date;</w:t>
      </w:r>
    </w:p>
    <w:p>
      <w:pPr>
        <w:spacing w:after="0" w:line="129" w:lineRule="exact"/>
        <w:rPr>
          <w:rFonts w:ascii="Verdana" w:cs="Verdana" w:eastAsia="Verdana" w:hAnsi="Verdana"/>
          <w:sz w:val="18"/>
          <w:szCs w:val="18"/>
          <w:color w:val="auto"/>
        </w:rPr>
      </w:pPr>
    </w:p>
    <w:p>
      <w:pPr>
        <w:jc w:val="both"/>
        <w:ind w:left="1280" w:hanging="644"/>
        <w:spacing w:after="0" w:line="282" w:lineRule="auto"/>
        <w:tabs>
          <w:tab w:leader="none" w:pos="1272" w:val="left"/>
        </w:tabs>
        <w:numPr>
          <w:ilvl w:val="0"/>
          <w:numId w:val="41"/>
        </w:numPr>
        <w:rPr>
          <w:rFonts w:ascii="Verdana" w:cs="Verdana" w:eastAsia="Verdana" w:hAnsi="Verdana"/>
          <w:sz w:val="18"/>
          <w:szCs w:val="18"/>
          <w:color w:val="auto"/>
        </w:rPr>
      </w:pPr>
      <w:r>
        <w:rPr>
          <w:rFonts w:ascii="Verdana" w:cs="Verdana" w:eastAsia="Verdana" w:hAnsi="Verdana"/>
          <w:sz w:val="18"/>
          <w:szCs w:val="18"/>
          <w:color w:val="auto"/>
        </w:rPr>
        <w:t xml:space="preserve">the Employee’s existing share awards granted on 28 April 2023 under the Flutter Entertainment plc Long-Term Incentive Plan (the </w:t>
      </w:r>
      <w:r>
        <w:rPr>
          <w:rFonts w:ascii="Verdana" w:cs="Verdana" w:eastAsia="Verdana" w:hAnsi="Verdana"/>
          <w:sz w:val="18"/>
          <w:szCs w:val="18"/>
          <w:b w:val="1"/>
          <w:bCs w:val="1"/>
          <w:i w:val="1"/>
          <w:iCs w:val="1"/>
          <w:color w:val="auto"/>
        </w:rPr>
        <w:t>Consolidated LTIP Awards</w:t>
      </w:r>
      <w:r>
        <w:rPr>
          <w:rFonts w:ascii="Verdana" w:cs="Verdana" w:eastAsia="Verdana" w:hAnsi="Verdana"/>
          <w:sz w:val="18"/>
          <w:szCs w:val="18"/>
          <w:color w:val="auto"/>
        </w:rPr>
        <w:t>) will be treated in the following manner and the Company shall procure that Flutter Entertainment plc and its Compensation &amp; HR Committee take all actions necessary to give effect to such treatment:</w:t>
      </w:r>
    </w:p>
    <w:p>
      <w:pPr>
        <w:spacing w:after="0" w:line="132" w:lineRule="exact"/>
        <w:rPr>
          <w:rFonts w:ascii="Verdana" w:cs="Verdana" w:eastAsia="Verdana" w:hAnsi="Verdana"/>
          <w:sz w:val="18"/>
          <w:szCs w:val="18"/>
          <w:color w:val="auto"/>
        </w:rPr>
      </w:pPr>
    </w:p>
    <w:p>
      <w:pPr>
        <w:ind w:left="1940" w:hanging="656"/>
        <w:spacing w:after="0" w:line="299" w:lineRule="auto"/>
        <w:tabs>
          <w:tab w:leader="none" w:pos="1937" w:val="left"/>
        </w:tabs>
        <w:numPr>
          <w:ilvl w:val="1"/>
          <w:numId w:val="41"/>
        </w:numPr>
        <w:rPr>
          <w:rFonts w:ascii="Verdana" w:cs="Verdana" w:eastAsia="Verdana" w:hAnsi="Verdana"/>
          <w:sz w:val="18"/>
          <w:szCs w:val="18"/>
          <w:color w:val="auto"/>
        </w:rPr>
      </w:pPr>
      <w:r>
        <w:rPr>
          <w:rFonts w:ascii="Verdana" w:cs="Verdana" w:eastAsia="Verdana" w:hAnsi="Verdana"/>
          <w:sz w:val="18"/>
          <w:szCs w:val="18"/>
          <w:color w:val="auto"/>
        </w:rPr>
        <w:t>Tranche 2 of the Consolidated LTIP Awards will vest subject to the achievement of the applicable performance conditions as soon as practicable following the end of the performance period;</w:t>
      </w:r>
    </w:p>
    <w:p>
      <w:pPr>
        <w:spacing w:after="0" w:line="157" w:lineRule="exact"/>
        <w:rPr>
          <w:sz w:val="20"/>
          <w:szCs w:val="20"/>
          <w:color w:val="auto"/>
        </w:rPr>
      </w:pPr>
    </w:p>
    <w:p>
      <w:pPr>
        <w:ind w:left="160"/>
        <w:spacing w:after="0"/>
        <w:rPr>
          <w:sz w:val="20"/>
          <w:szCs w:val="20"/>
          <w:color w:val="auto"/>
        </w:rPr>
      </w:pPr>
      <w:r>
        <w:rPr>
          <w:rFonts w:ascii="Verdana" w:cs="Verdana" w:eastAsia="Verdana" w:hAnsi="Verdana"/>
          <w:sz w:val="13"/>
          <w:szCs w:val="13"/>
          <w:color w:val="auto"/>
        </w:rPr>
        <w:t>4ï2</w:t>
      </w:r>
    </w:p>
    <w:p>
      <w:pPr>
        <w:spacing w:after="0" w:line="126" w:lineRule="exact"/>
        <w:rPr>
          <w:sz w:val="20"/>
          <w:szCs w:val="20"/>
          <w:color w:val="auto"/>
        </w:rPr>
      </w:pPr>
    </w:p>
    <w:p>
      <w:pPr>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20"/>
          </w:cols>
          <w:pgMar w:left="340" w:top="1440" w:right="339" w:bottom="1440" w:gutter="0" w:footer="0" w:header="0"/>
        </w:sectPr>
      </w:pPr>
    </w:p>
    <w:bookmarkStart w:id="72" w:name="page73"/>
    <w:bookmarkEnd w:id="72"/>
    <w:p>
      <w:pPr>
        <w:spacing w:after="0" w:line="220" w:lineRule="exact"/>
        <w:rPr>
          <w:sz w:val="20"/>
          <w:szCs w:val="20"/>
          <w:color w:val="auto"/>
        </w:rPr>
      </w:pPr>
    </w:p>
    <w:p>
      <w:pPr>
        <w:ind w:left="1920" w:hanging="636"/>
        <w:spacing w:after="0"/>
        <w:tabs>
          <w:tab w:leader="none" w:pos="1920" w:val="left"/>
        </w:tabs>
        <w:numPr>
          <w:ilvl w:val="1"/>
          <w:numId w:val="42"/>
        </w:numPr>
        <w:rPr>
          <w:rFonts w:ascii="Verdana" w:cs="Verdana" w:eastAsia="Verdana" w:hAnsi="Verdana"/>
          <w:sz w:val="17"/>
          <w:szCs w:val="17"/>
          <w:color w:val="auto"/>
        </w:rPr>
      </w:pPr>
      <w:r>
        <w:rPr>
          <w:rFonts w:ascii="Verdana" w:cs="Verdana" w:eastAsia="Verdana" w:hAnsi="Verdana"/>
          <w:sz w:val="17"/>
          <w:szCs w:val="17"/>
          <w:color w:val="auto"/>
        </w:rPr>
        <w:t>Tranche 3 of the Consolidated LTIP Awards will vest as soon as practicable subject to the achievement</w:t>
      </w:r>
    </w:p>
    <w:p>
      <w:pPr>
        <w:spacing w:after="0" w:line="49" w:lineRule="exact"/>
        <w:rPr>
          <w:rFonts w:ascii="Verdana" w:cs="Verdana" w:eastAsia="Verdana" w:hAnsi="Verdana"/>
          <w:sz w:val="17"/>
          <w:szCs w:val="17"/>
          <w:color w:val="auto"/>
        </w:rPr>
      </w:pPr>
    </w:p>
    <w:p>
      <w:pPr>
        <w:ind w:left="1940"/>
        <w:spacing w:after="0" w:line="284" w:lineRule="auto"/>
        <w:rPr>
          <w:rFonts w:ascii="Verdana" w:cs="Verdana" w:eastAsia="Verdana" w:hAnsi="Verdana"/>
          <w:sz w:val="17"/>
          <w:szCs w:val="17"/>
          <w:color w:val="auto"/>
        </w:rPr>
      </w:pPr>
      <w:r>
        <w:rPr>
          <w:rFonts w:ascii="Verdana" w:cs="Verdana" w:eastAsia="Verdana" w:hAnsi="Verdana"/>
          <w:sz w:val="18"/>
          <w:szCs w:val="18"/>
          <w:color w:val="auto"/>
        </w:rPr>
        <w:t>of the applicable performance conditions and to a time pro-rating reduction to reflect the period of performance up to the Termination Date following the end of the performance period; and</w:t>
      </w:r>
    </w:p>
    <w:p>
      <w:pPr>
        <w:spacing w:after="0" w:line="143" w:lineRule="exact"/>
        <w:rPr>
          <w:rFonts w:ascii="Verdana" w:cs="Verdana" w:eastAsia="Verdana" w:hAnsi="Verdana"/>
          <w:sz w:val="17"/>
          <w:szCs w:val="17"/>
          <w:color w:val="auto"/>
        </w:rPr>
      </w:pPr>
    </w:p>
    <w:p>
      <w:pPr>
        <w:ind w:left="1920" w:hanging="636"/>
        <w:spacing w:after="0"/>
        <w:tabs>
          <w:tab w:leader="none" w:pos="1920" w:val="left"/>
        </w:tabs>
        <w:numPr>
          <w:ilvl w:val="1"/>
          <w:numId w:val="42"/>
        </w:numPr>
        <w:rPr>
          <w:rFonts w:ascii="Verdana" w:cs="Verdana" w:eastAsia="Verdana" w:hAnsi="Verdana"/>
          <w:sz w:val="17"/>
          <w:szCs w:val="17"/>
          <w:color w:val="auto"/>
        </w:rPr>
      </w:pPr>
      <w:r>
        <w:rPr>
          <w:rFonts w:ascii="Verdana" w:cs="Verdana" w:eastAsia="Verdana" w:hAnsi="Verdana"/>
          <w:sz w:val="17"/>
          <w:szCs w:val="17"/>
          <w:color w:val="auto"/>
        </w:rPr>
        <w:t>Tranche 4 of the Consolidated LTIP Awards will vest as soon as practicable subject to the achievement</w:t>
      </w:r>
    </w:p>
    <w:p>
      <w:pPr>
        <w:spacing w:after="0" w:line="49" w:lineRule="exact"/>
        <w:rPr>
          <w:rFonts w:ascii="Verdana" w:cs="Verdana" w:eastAsia="Verdana" w:hAnsi="Verdana"/>
          <w:sz w:val="17"/>
          <w:szCs w:val="17"/>
          <w:color w:val="auto"/>
        </w:rPr>
      </w:pPr>
    </w:p>
    <w:p>
      <w:pPr>
        <w:ind w:left="1940"/>
        <w:spacing w:after="0" w:line="284" w:lineRule="auto"/>
        <w:rPr>
          <w:rFonts w:ascii="Verdana" w:cs="Verdana" w:eastAsia="Verdana" w:hAnsi="Verdana"/>
          <w:sz w:val="17"/>
          <w:szCs w:val="17"/>
          <w:color w:val="auto"/>
        </w:rPr>
      </w:pPr>
      <w:r>
        <w:rPr>
          <w:rFonts w:ascii="Verdana" w:cs="Verdana" w:eastAsia="Verdana" w:hAnsi="Verdana"/>
          <w:sz w:val="18"/>
          <w:szCs w:val="18"/>
          <w:color w:val="auto"/>
        </w:rPr>
        <w:t>of the applicable performance conditions and to a time pro-rating reduction to reflect the period of performance up to the Termination Date following the end of the performance period;</w:t>
      </w:r>
    </w:p>
    <w:p>
      <w:pPr>
        <w:spacing w:after="0" w:line="143" w:lineRule="exact"/>
        <w:rPr>
          <w:rFonts w:ascii="Verdana" w:cs="Verdana" w:eastAsia="Verdana" w:hAnsi="Verdana"/>
          <w:sz w:val="17"/>
          <w:szCs w:val="17"/>
          <w:color w:val="auto"/>
        </w:rPr>
      </w:pPr>
    </w:p>
    <w:p>
      <w:pPr>
        <w:ind w:left="1280" w:hanging="644"/>
        <w:spacing w:after="0"/>
        <w:tabs>
          <w:tab w:leader="none" w:pos="1280" w:val="left"/>
        </w:tabs>
        <w:numPr>
          <w:ilvl w:val="0"/>
          <w:numId w:val="43"/>
        </w:numPr>
        <w:rPr>
          <w:rFonts w:ascii="Verdana" w:cs="Verdana" w:eastAsia="Verdana" w:hAnsi="Verdana"/>
          <w:sz w:val="18"/>
          <w:szCs w:val="18"/>
          <w:color w:val="auto"/>
        </w:rPr>
      </w:pPr>
      <w:r>
        <w:rPr>
          <w:rFonts w:ascii="Verdana" w:cs="Verdana" w:eastAsia="Verdana" w:hAnsi="Verdana"/>
          <w:sz w:val="18"/>
          <w:szCs w:val="18"/>
          <w:color w:val="auto"/>
        </w:rPr>
        <w:t>the Employee’s Restricted Share Unit Awards granted under the Flutter Entertainment plc 2024 Omnibus</w:t>
      </w:r>
    </w:p>
    <w:p>
      <w:pPr>
        <w:spacing w:after="0" w:line="37" w:lineRule="exact"/>
        <w:rPr>
          <w:rFonts w:ascii="Verdana" w:cs="Verdana" w:eastAsia="Verdana" w:hAnsi="Verdana"/>
          <w:sz w:val="18"/>
          <w:szCs w:val="18"/>
          <w:color w:val="auto"/>
        </w:rPr>
      </w:pPr>
    </w:p>
    <w:p>
      <w:pPr>
        <w:jc w:val="both"/>
        <w:ind w:left="1280"/>
        <w:spacing w:after="0" w:line="282" w:lineRule="auto"/>
        <w:rPr>
          <w:rFonts w:ascii="Verdana" w:cs="Verdana" w:eastAsia="Verdana" w:hAnsi="Verdana"/>
          <w:sz w:val="18"/>
          <w:szCs w:val="18"/>
          <w:color w:val="auto"/>
        </w:rPr>
      </w:pPr>
      <w:r>
        <w:rPr>
          <w:rFonts w:ascii="Verdana" w:cs="Verdana" w:eastAsia="Verdana" w:hAnsi="Verdana"/>
          <w:sz w:val="18"/>
          <w:szCs w:val="18"/>
          <w:color w:val="auto"/>
        </w:rPr>
        <w:t>Equity Incentive Plan on 19 August 2024, 10 March 2025, and 11 March 2026 will vest as soon as practicable following the Termination Date (to the extent not otherwise vested before that date) with each relevant Tranche pro-rated in accordance with the relevant Restricted Share Unit Award Agreement;</w:t>
      </w:r>
    </w:p>
    <w:p>
      <w:pPr>
        <w:spacing w:after="0" w:line="146" w:lineRule="exact"/>
        <w:rPr>
          <w:rFonts w:ascii="Verdana" w:cs="Verdana" w:eastAsia="Verdana" w:hAnsi="Verdana"/>
          <w:sz w:val="18"/>
          <w:szCs w:val="18"/>
          <w:color w:val="auto"/>
        </w:rPr>
      </w:pPr>
    </w:p>
    <w:p>
      <w:pPr>
        <w:jc w:val="both"/>
        <w:ind w:left="1280" w:hanging="644"/>
        <w:spacing w:after="0" w:line="276" w:lineRule="auto"/>
        <w:tabs>
          <w:tab w:leader="none" w:pos="1277" w:val="left"/>
        </w:tabs>
        <w:numPr>
          <w:ilvl w:val="0"/>
          <w:numId w:val="43"/>
        </w:numPr>
        <w:rPr>
          <w:rFonts w:ascii="Verdana" w:cs="Verdana" w:eastAsia="Verdana" w:hAnsi="Verdana"/>
          <w:sz w:val="18"/>
          <w:szCs w:val="18"/>
          <w:color w:val="auto"/>
        </w:rPr>
      </w:pPr>
      <w:r>
        <w:rPr>
          <w:rFonts w:ascii="Verdana" w:cs="Verdana" w:eastAsia="Verdana" w:hAnsi="Verdana"/>
          <w:sz w:val="18"/>
          <w:szCs w:val="18"/>
          <w:color w:val="auto"/>
        </w:rPr>
        <w:t>the Employee’s Performance Share Unit Awards granted under the Flutter Entertainment plc 2024 Omnibus Equity Incentive Plan on 19 August 2024, 10 March 2025 and 11 March 2026 will vest as soon as practicable subject to the assessment of the applicable performance conditions taking into account any adjustments to</w:t>
      </w:r>
    </w:p>
    <w:p>
      <w:pPr>
        <w:spacing w:after="0" w:line="1" w:lineRule="exact"/>
        <w:rPr>
          <w:rFonts w:ascii="Verdana" w:cs="Verdana" w:eastAsia="Verdana" w:hAnsi="Verdana"/>
          <w:sz w:val="18"/>
          <w:szCs w:val="18"/>
          <w:color w:val="auto"/>
        </w:rPr>
      </w:pPr>
    </w:p>
    <w:p>
      <w:pPr>
        <w:jc w:val="both"/>
        <w:ind w:left="1280"/>
        <w:spacing w:after="0" w:line="282" w:lineRule="auto"/>
        <w:rPr>
          <w:rFonts w:ascii="Verdana" w:cs="Verdana" w:eastAsia="Verdana" w:hAnsi="Verdana"/>
          <w:sz w:val="18"/>
          <w:szCs w:val="18"/>
          <w:color w:val="auto"/>
        </w:rPr>
      </w:pPr>
      <w:r>
        <w:rPr>
          <w:rFonts w:ascii="Verdana" w:cs="Verdana" w:eastAsia="Verdana" w:hAnsi="Verdana"/>
          <w:sz w:val="18"/>
          <w:szCs w:val="18"/>
          <w:color w:val="auto"/>
        </w:rPr>
        <w:t>any performance conditions or performance outturns agreed by the Committee whether for M&amp;A, tax and regulatory matters or otherwise and pro-rated in accordance with the relevant Performance Share Unit Award Agreement, following the end of the applicable performance period;</w:t>
      </w:r>
    </w:p>
    <w:p>
      <w:pPr>
        <w:spacing w:after="0" w:line="146" w:lineRule="exact"/>
        <w:rPr>
          <w:rFonts w:ascii="Verdana" w:cs="Verdana" w:eastAsia="Verdana" w:hAnsi="Verdana"/>
          <w:sz w:val="18"/>
          <w:szCs w:val="18"/>
          <w:color w:val="auto"/>
        </w:rPr>
      </w:pPr>
    </w:p>
    <w:p>
      <w:pPr>
        <w:jc w:val="both"/>
        <w:ind w:left="1280" w:hanging="644"/>
        <w:spacing w:after="0" w:line="282" w:lineRule="auto"/>
        <w:tabs>
          <w:tab w:leader="none" w:pos="1276" w:val="left"/>
        </w:tabs>
        <w:numPr>
          <w:ilvl w:val="0"/>
          <w:numId w:val="43"/>
        </w:numPr>
        <w:rPr>
          <w:rFonts w:ascii="Verdana" w:cs="Verdana" w:eastAsia="Verdana" w:hAnsi="Verdana"/>
          <w:sz w:val="18"/>
          <w:szCs w:val="18"/>
          <w:color w:val="auto"/>
        </w:rPr>
      </w:pPr>
      <w:r>
        <w:rPr>
          <w:rFonts w:ascii="Verdana" w:cs="Verdana" w:eastAsia="Verdana" w:hAnsi="Verdana"/>
          <w:sz w:val="18"/>
          <w:szCs w:val="18"/>
          <w:color w:val="auto"/>
        </w:rPr>
        <w:t>the holding period applicable in respect of the share awards granted under the Flutter Entertainment plc Long Term Incentive Plan on 8 March 2022 shall cease to apply as soon as practicable following the Termination Date.</w:t>
      </w:r>
    </w:p>
    <w:p>
      <w:pPr>
        <w:spacing w:after="0" w:line="133"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Verdana" w:cs="Verdana" w:eastAsia="Verdana" w:hAnsi="Verdana"/>
          <w:sz w:val="18"/>
          <w:szCs w:val="18"/>
          <w:color w:val="auto"/>
        </w:rPr>
        <w:t>3.2</w:t>
      </w:r>
      <w:r>
        <w:rPr>
          <w:sz w:val="20"/>
          <w:szCs w:val="20"/>
          <w:color w:val="auto"/>
        </w:rPr>
        <w:tab/>
      </w:r>
      <w:r>
        <w:rPr>
          <w:rFonts w:ascii="Verdana" w:cs="Verdana" w:eastAsia="Verdana" w:hAnsi="Verdana"/>
          <w:sz w:val="18"/>
          <w:szCs w:val="18"/>
          <w:color w:val="auto"/>
        </w:rPr>
        <w:t>The Company agrees that in determining the vesting levels of the Employee’s awards or 2026 bonus, and in applying any adjustments related to business or financial performance contemplated by this clause 3, the Committee shall treat the Employee’s relevant awards no less favourably than any equivalent awards or 2026 bonus granted to the Company’s Chief Financial Officer or, to the extent the Chief Financial Officer does not hold an equivalent award, the other participants in the relevant plan.</w:t>
      </w:r>
    </w:p>
    <w:p>
      <w:pPr>
        <w:spacing w:after="0" w:line="146" w:lineRule="exact"/>
        <w:rPr>
          <w:sz w:val="20"/>
          <w:szCs w:val="20"/>
          <w:color w:val="auto"/>
        </w:rPr>
      </w:pPr>
    </w:p>
    <w:p>
      <w:pPr>
        <w:jc w:val="both"/>
        <w:ind w:left="640" w:hanging="647"/>
        <w:spacing w:after="0" w:line="279" w:lineRule="auto"/>
        <w:tabs>
          <w:tab w:leader="none" w:pos="620" w:val="left"/>
        </w:tabs>
        <w:rPr>
          <w:sz w:val="20"/>
          <w:szCs w:val="20"/>
          <w:color w:val="auto"/>
        </w:rPr>
      </w:pPr>
      <w:r>
        <w:rPr>
          <w:rFonts w:ascii="Verdana" w:cs="Verdana" w:eastAsia="Verdana" w:hAnsi="Verdana"/>
          <w:sz w:val="18"/>
          <w:szCs w:val="18"/>
          <w:color w:val="auto"/>
        </w:rPr>
        <w:t>3.3</w:t>
      </w:r>
      <w:r>
        <w:rPr>
          <w:sz w:val="20"/>
          <w:szCs w:val="20"/>
          <w:color w:val="auto"/>
        </w:rPr>
        <w:tab/>
      </w:r>
      <w:r>
        <w:rPr>
          <w:rFonts w:ascii="Verdana" w:cs="Verdana" w:eastAsia="Verdana" w:hAnsi="Verdana"/>
          <w:sz w:val="18"/>
          <w:szCs w:val="18"/>
          <w:color w:val="auto"/>
        </w:rPr>
        <w:t>The Employee will be permitted to exercise the vested portion of the award granted to him under the Flutter Entertainment plc Long-Term Incentive Plan on 30 June 2020 during a six month exercise window from the later of the Termination Date and the date on which he is first able to exercise those awards pursuant to the Flutter dealing policy. If awards are not exercised during the relevant exercise window then they will lapse automatically upon the expiry of such window with no compensation. It is the Employee’s responsibility to ensure that awards are exercised in the windows provided, if he so wishes.</w:t>
      </w:r>
    </w:p>
    <w:p>
      <w:pPr>
        <w:spacing w:after="0" w:line="175" w:lineRule="exact"/>
        <w:rPr>
          <w:sz w:val="20"/>
          <w:szCs w:val="20"/>
          <w:color w:val="auto"/>
        </w:rPr>
      </w:pPr>
    </w:p>
    <w:p>
      <w:pPr>
        <w:ind w:left="160"/>
        <w:spacing w:after="0"/>
        <w:rPr>
          <w:sz w:val="20"/>
          <w:szCs w:val="20"/>
          <w:color w:val="auto"/>
        </w:rPr>
      </w:pPr>
      <w:r>
        <w:rPr>
          <w:rFonts w:ascii="Verdana" w:cs="Verdana" w:eastAsia="Verdana" w:hAnsi="Verdana"/>
          <w:sz w:val="13"/>
          <w:szCs w:val="13"/>
          <w:color w:val="auto"/>
        </w:rPr>
        <w:t>5ï2</w:t>
      </w:r>
    </w:p>
    <w:p>
      <w:pPr>
        <w:spacing w:after="0" w:line="126" w:lineRule="exact"/>
        <w:rPr>
          <w:sz w:val="20"/>
          <w:szCs w:val="20"/>
          <w:color w:val="auto"/>
        </w:rPr>
      </w:pPr>
    </w:p>
    <w:p>
      <w:pPr>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20"/>
          </w:cols>
          <w:pgMar w:left="340" w:top="1440" w:right="339" w:bottom="1440" w:gutter="0" w:footer="0" w:header="0"/>
        </w:sectPr>
      </w:pPr>
    </w:p>
    <w:bookmarkStart w:id="73" w:name="page74"/>
    <w:bookmarkEnd w:id="73"/>
    <w:p>
      <w:pPr>
        <w:spacing w:after="0" w:line="22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Verdana" w:cs="Verdana" w:eastAsia="Verdana" w:hAnsi="Verdana"/>
          <w:sz w:val="18"/>
          <w:szCs w:val="18"/>
          <w:color w:val="auto"/>
        </w:rPr>
        <w:t>3.4</w:t>
      </w:r>
      <w:r>
        <w:rPr>
          <w:sz w:val="20"/>
          <w:szCs w:val="20"/>
          <w:color w:val="auto"/>
        </w:rPr>
        <w:tab/>
      </w:r>
      <w:r>
        <w:rPr>
          <w:rFonts w:ascii="Verdana" w:cs="Verdana" w:eastAsia="Verdana" w:hAnsi="Verdana"/>
          <w:sz w:val="18"/>
          <w:szCs w:val="18"/>
          <w:color w:val="auto"/>
        </w:rPr>
        <w:t>The Flutter malus and clawback policy, together with the Executive Clawback Policy (both as they are in place as at the date of this Agreement, save for amendments required by law or regulation) will continue to apply in respect of the Employee’s outstanding and historical share awards and bonuses, as per the respective policy.</w:t>
      </w:r>
    </w:p>
    <w:p>
      <w:pPr>
        <w:spacing w:after="0" w:line="147" w:lineRule="exact"/>
        <w:rPr>
          <w:sz w:val="20"/>
          <w:szCs w:val="20"/>
          <w:color w:val="auto"/>
        </w:rPr>
      </w:pPr>
    </w:p>
    <w:p>
      <w:pPr>
        <w:jc w:val="both"/>
        <w:ind w:left="660" w:right="20" w:hanging="647"/>
        <w:spacing w:after="0" w:line="299" w:lineRule="auto"/>
        <w:tabs>
          <w:tab w:leader="none" w:pos="640" w:val="left"/>
        </w:tabs>
        <w:rPr>
          <w:sz w:val="20"/>
          <w:szCs w:val="20"/>
          <w:color w:val="auto"/>
        </w:rPr>
      </w:pPr>
      <w:r>
        <w:rPr>
          <w:rFonts w:ascii="Verdana" w:cs="Verdana" w:eastAsia="Verdana" w:hAnsi="Verdana"/>
          <w:sz w:val="18"/>
          <w:szCs w:val="18"/>
          <w:color w:val="auto"/>
        </w:rPr>
        <w:t>3.5</w:t>
      </w:r>
      <w:r>
        <w:rPr>
          <w:sz w:val="20"/>
          <w:szCs w:val="20"/>
          <w:color w:val="auto"/>
        </w:rPr>
        <w:tab/>
      </w:r>
      <w:r>
        <w:rPr>
          <w:rFonts w:ascii="Verdana" w:cs="Verdana" w:eastAsia="Verdana" w:hAnsi="Verdana"/>
          <w:sz w:val="18"/>
          <w:szCs w:val="18"/>
          <w:color w:val="auto"/>
        </w:rPr>
        <w:t>The Employee will ensure that both the Flutter share plans team and the Company’s share plan administrator (currently Computershare) has his up-to-date email address and mobile phone number at all times.</w:t>
      </w:r>
    </w:p>
    <w:p>
      <w:pPr>
        <w:spacing w:after="0" w:line="116" w:lineRule="exact"/>
        <w:rPr>
          <w:sz w:val="20"/>
          <w:szCs w:val="20"/>
          <w:color w:val="auto"/>
        </w:rPr>
      </w:pPr>
    </w:p>
    <w:p>
      <w:pPr>
        <w:jc w:val="both"/>
        <w:ind w:left="660" w:hanging="647"/>
        <w:spacing w:after="0" w:line="299" w:lineRule="auto"/>
        <w:tabs>
          <w:tab w:leader="none" w:pos="640" w:val="left"/>
        </w:tabs>
        <w:rPr>
          <w:sz w:val="20"/>
          <w:szCs w:val="20"/>
          <w:color w:val="auto"/>
        </w:rPr>
      </w:pPr>
      <w:r>
        <w:rPr>
          <w:rFonts w:ascii="Verdana" w:cs="Verdana" w:eastAsia="Verdana" w:hAnsi="Verdana"/>
          <w:sz w:val="18"/>
          <w:szCs w:val="18"/>
          <w:color w:val="auto"/>
        </w:rPr>
        <w:t>3.6</w:t>
      </w:r>
      <w:r>
        <w:rPr>
          <w:sz w:val="20"/>
          <w:szCs w:val="20"/>
          <w:color w:val="auto"/>
        </w:rPr>
        <w:tab/>
      </w:r>
      <w:r>
        <w:rPr>
          <w:rFonts w:ascii="Verdana" w:cs="Verdana" w:eastAsia="Verdana" w:hAnsi="Verdana"/>
          <w:sz w:val="18"/>
          <w:szCs w:val="18"/>
          <w:color w:val="auto"/>
        </w:rPr>
        <w:t>The Employee will comply with the Flutter share dealing policy (as it is in place as at the date of this Agreement, save for amendments required by law or regulation) to the extent and for so long as it continues to applies to him.</w:t>
      </w:r>
    </w:p>
    <w:p>
      <w:pPr>
        <w:spacing w:after="0" w:line="130"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Verdana" w:cs="Verdana" w:eastAsia="Verdana" w:hAnsi="Verdana"/>
          <w:sz w:val="18"/>
          <w:szCs w:val="18"/>
          <w:color w:val="auto"/>
        </w:rPr>
        <w:t>3.7</w:t>
      </w:r>
      <w:r>
        <w:rPr>
          <w:sz w:val="20"/>
          <w:szCs w:val="20"/>
          <w:color w:val="auto"/>
        </w:rPr>
        <w:tab/>
      </w:r>
      <w:r>
        <w:rPr>
          <w:rFonts w:ascii="Verdana" w:cs="Verdana" w:eastAsia="Verdana" w:hAnsi="Verdana"/>
          <w:sz w:val="18"/>
          <w:szCs w:val="18"/>
          <w:color w:val="auto"/>
        </w:rPr>
        <w:t>Any minimum shareholding requirements that currently apply to the Employee will cease to apply following the Termination Date, and (subject always to clause 3.6) none of the share awards set out in this clause 3 shall be subject to a holding period following settlement.</w:t>
      </w:r>
    </w:p>
    <w:p>
      <w:pPr>
        <w:spacing w:after="0" w:line="147"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3.8</w:t>
      </w:r>
      <w:r>
        <w:rPr>
          <w:sz w:val="20"/>
          <w:szCs w:val="20"/>
          <w:color w:val="auto"/>
        </w:rPr>
        <w:tab/>
      </w:r>
      <w:r>
        <w:rPr>
          <w:rFonts w:ascii="Verdana" w:cs="Verdana" w:eastAsia="Verdana" w:hAnsi="Verdana"/>
          <w:sz w:val="17"/>
          <w:szCs w:val="17"/>
          <w:color w:val="auto"/>
        </w:rPr>
        <w:t>Schedule 5 sets out a summary of the treatment of Employee’s unvested share awards.</w:t>
      </w:r>
    </w:p>
    <w:p>
      <w:pPr>
        <w:spacing w:after="0" w:line="186"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3.9</w:t>
      </w:r>
      <w:r>
        <w:rPr>
          <w:sz w:val="20"/>
          <w:szCs w:val="20"/>
          <w:color w:val="auto"/>
        </w:rPr>
        <w:tab/>
      </w:r>
      <w:r>
        <w:rPr>
          <w:rFonts w:ascii="Verdana" w:cs="Verdana" w:eastAsia="Verdana" w:hAnsi="Verdana"/>
          <w:sz w:val="17"/>
          <w:szCs w:val="17"/>
          <w:color w:val="auto"/>
        </w:rPr>
        <w:t>The Employee will have no entitlement to a bonus in respect of the 2027 financial year.</w:t>
      </w:r>
    </w:p>
    <w:p>
      <w:pPr>
        <w:spacing w:after="0" w:line="200"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8"/>
          <w:szCs w:val="18"/>
          <w:color w:val="auto"/>
        </w:rPr>
        <w:t>3.10</w:t>
      </w:r>
      <w:r>
        <w:rPr>
          <w:sz w:val="20"/>
          <w:szCs w:val="20"/>
          <w:color w:val="auto"/>
        </w:rPr>
        <w:tab/>
      </w:r>
      <w:r>
        <w:rPr>
          <w:rFonts w:ascii="Verdana" w:cs="Verdana" w:eastAsia="Verdana" w:hAnsi="Verdana"/>
          <w:sz w:val="17"/>
          <w:szCs w:val="17"/>
          <w:color w:val="auto"/>
        </w:rPr>
        <w:t>The Company warrants:</w:t>
      </w:r>
    </w:p>
    <w:p>
      <w:pPr>
        <w:spacing w:after="0" w:line="200" w:lineRule="exact"/>
        <w:rPr>
          <w:sz w:val="20"/>
          <w:szCs w:val="20"/>
          <w:color w:val="auto"/>
        </w:rPr>
      </w:pPr>
    </w:p>
    <w:p>
      <w:pPr>
        <w:jc w:val="both"/>
        <w:ind w:left="1300" w:hanging="644"/>
        <w:spacing w:after="0" w:line="282" w:lineRule="auto"/>
        <w:tabs>
          <w:tab w:leader="none" w:pos="1288" w:val="left"/>
        </w:tabs>
        <w:numPr>
          <w:ilvl w:val="1"/>
          <w:numId w:val="44"/>
        </w:numPr>
        <w:rPr>
          <w:rFonts w:ascii="Verdana" w:cs="Verdana" w:eastAsia="Verdana" w:hAnsi="Verdana"/>
          <w:sz w:val="18"/>
          <w:szCs w:val="18"/>
          <w:color w:val="auto"/>
        </w:rPr>
      </w:pPr>
      <w:r>
        <w:rPr>
          <w:rFonts w:ascii="Verdana" w:cs="Verdana" w:eastAsia="Verdana" w:hAnsi="Verdana"/>
          <w:sz w:val="18"/>
          <w:szCs w:val="18"/>
          <w:color w:val="auto"/>
        </w:rPr>
        <w:t>the treatment of the Employee’s awards as set out in this clause 3 and Schedule 5 have been approved by Flutter Entertainment plc’s Compensation &amp; HR Committee, exercising their discretion under the terms of the relevant Plan Rules, where relevant and necessary; and</w:t>
      </w:r>
    </w:p>
    <w:p>
      <w:pPr>
        <w:spacing w:after="0" w:line="146" w:lineRule="exact"/>
        <w:rPr>
          <w:rFonts w:ascii="Verdana" w:cs="Verdana" w:eastAsia="Verdana" w:hAnsi="Verdana"/>
          <w:sz w:val="18"/>
          <w:szCs w:val="18"/>
          <w:color w:val="auto"/>
        </w:rPr>
      </w:pPr>
    </w:p>
    <w:p>
      <w:pPr>
        <w:jc w:val="both"/>
        <w:ind w:left="1300" w:hanging="644"/>
        <w:spacing w:after="0" w:line="273" w:lineRule="auto"/>
        <w:tabs>
          <w:tab w:leader="none" w:pos="1292" w:val="left"/>
        </w:tabs>
        <w:numPr>
          <w:ilvl w:val="1"/>
          <w:numId w:val="44"/>
        </w:numPr>
        <w:rPr>
          <w:rFonts w:ascii="Verdana" w:cs="Verdana" w:eastAsia="Verdana" w:hAnsi="Verdana"/>
          <w:sz w:val="18"/>
          <w:szCs w:val="18"/>
          <w:color w:val="auto"/>
        </w:rPr>
      </w:pPr>
      <w:r>
        <w:rPr>
          <w:rFonts w:ascii="Verdana" w:cs="Verdana" w:eastAsia="Verdana" w:hAnsi="Verdana"/>
          <w:sz w:val="18"/>
          <w:szCs w:val="18"/>
          <w:color w:val="auto"/>
        </w:rPr>
        <w:t>the conversion of all of the Employee’s unvested nil cost options granted under the Flutter Entertainment plc Long-Term Incentive Plan to equivalent Restricted Share Unit and Performance Share Unit Awards (for the</w:t>
      </w:r>
    </w:p>
    <w:p>
      <w:pPr>
        <w:spacing w:after="0" w:line="1" w:lineRule="exact"/>
        <w:rPr>
          <w:rFonts w:ascii="Verdana" w:cs="Verdana" w:eastAsia="Verdana" w:hAnsi="Verdana"/>
          <w:sz w:val="18"/>
          <w:szCs w:val="18"/>
          <w:color w:val="auto"/>
        </w:rPr>
      </w:pPr>
    </w:p>
    <w:p>
      <w:pPr>
        <w:jc w:val="both"/>
        <w:ind w:left="1300"/>
        <w:spacing w:after="0" w:line="282" w:lineRule="auto"/>
        <w:rPr>
          <w:rFonts w:ascii="Verdana" w:cs="Verdana" w:eastAsia="Verdana" w:hAnsi="Verdana"/>
          <w:sz w:val="18"/>
          <w:szCs w:val="18"/>
          <w:color w:val="auto"/>
        </w:rPr>
      </w:pPr>
      <w:r>
        <w:rPr>
          <w:rFonts w:ascii="Verdana" w:cs="Verdana" w:eastAsia="Verdana" w:hAnsi="Verdana"/>
          <w:sz w:val="18"/>
          <w:szCs w:val="18"/>
          <w:color w:val="auto"/>
        </w:rPr>
        <w:t>avoidance of doubt, excluding the award referenced in clause 3.3) was effective, and the required amendments were made to the relevant awards following the execution of the side letter between the Employee and Betfair Limited dated 19 August 2024, to ensure that such awards qualified for the exemption from, or complied with the requirements of Section 409A (as defined in clause 16.2).</w:t>
      </w:r>
    </w:p>
    <w:p>
      <w:pPr>
        <w:spacing w:after="0" w:line="186" w:lineRule="exact"/>
        <w:rPr>
          <w:rFonts w:ascii="Verdana" w:cs="Verdana" w:eastAsia="Verdana" w:hAnsi="Verdana"/>
          <w:sz w:val="18"/>
          <w:szCs w:val="18"/>
          <w:color w:val="auto"/>
        </w:rPr>
      </w:pPr>
    </w:p>
    <w:p>
      <w:pPr>
        <w:ind w:left="640" w:hanging="632"/>
        <w:spacing w:after="0"/>
        <w:tabs>
          <w:tab w:leader="none" w:pos="640" w:val="left"/>
        </w:tabs>
        <w:numPr>
          <w:ilvl w:val="0"/>
          <w:numId w:val="4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REFERENCE</w:t>
      </w:r>
    </w:p>
    <w:p>
      <w:pPr>
        <w:spacing w:after="0" w:line="213" w:lineRule="exact"/>
        <w:rPr>
          <w:rFonts w:ascii="Verdana" w:cs="Verdana" w:eastAsia="Verdana" w:hAnsi="Verdana"/>
          <w:sz w:val="18"/>
          <w:szCs w:val="18"/>
          <w:b w:val="1"/>
          <w:bCs w:val="1"/>
          <w:color w:val="auto"/>
        </w:rPr>
      </w:pPr>
    </w:p>
    <w:p>
      <w:pPr>
        <w:jc w:val="both"/>
        <w:ind w:left="660"/>
        <w:spacing w:after="0" w:line="326" w:lineRule="auto"/>
        <w:rPr>
          <w:rFonts w:ascii="Verdana" w:cs="Verdana" w:eastAsia="Verdana" w:hAnsi="Verdana"/>
          <w:sz w:val="18"/>
          <w:szCs w:val="18"/>
          <w:b w:val="1"/>
          <w:bCs w:val="1"/>
          <w:color w:val="auto"/>
        </w:rPr>
      </w:pPr>
      <w:r>
        <w:rPr>
          <w:rFonts w:ascii="Verdana" w:cs="Verdana" w:eastAsia="Verdana" w:hAnsi="Verdana"/>
          <w:sz w:val="18"/>
          <w:szCs w:val="18"/>
          <w:color w:val="auto"/>
        </w:rPr>
        <w:t>Subject to any legal or regulatory requirement, at the request of a prospective employer the Company will provide the Employee with a reference in the terms attached at Schedule 3. If after the date of this Agreement the Company becomes aware of any matters that make or may make the terms of the reference materially inaccurate or misleading, the Company may make alterations to its terms to ensure</w:t>
      </w:r>
    </w:p>
    <w:p>
      <w:pPr>
        <w:spacing w:after="0" w:line="162" w:lineRule="exact"/>
        <w:rPr>
          <w:sz w:val="20"/>
          <w:szCs w:val="20"/>
          <w:color w:val="auto"/>
        </w:rPr>
      </w:pPr>
    </w:p>
    <w:p>
      <w:pPr>
        <w:ind w:left="180"/>
        <w:spacing w:after="0"/>
        <w:rPr>
          <w:sz w:val="20"/>
          <w:szCs w:val="20"/>
          <w:color w:val="auto"/>
        </w:rPr>
      </w:pPr>
      <w:r>
        <w:rPr>
          <w:rFonts w:ascii="Verdana" w:cs="Verdana" w:eastAsia="Verdana" w:hAnsi="Verdana"/>
          <w:sz w:val="13"/>
          <w:szCs w:val="13"/>
          <w:color w:val="auto"/>
        </w:rPr>
        <w:t>6ï2</w:t>
      </w:r>
    </w:p>
    <w:p>
      <w:pPr>
        <w:spacing w:after="0" w:line="126"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34" w:lineRule="exact"/>
        <w:rPr>
          <w:sz w:val="20"/>
          <w:szCs w:val="20"/>
          <w:color w:val="auto"/>
        </w:rPr>
      </w:pPr>
    </w:p>
    <w:p>
      <w:pPr>
        <w:ind w:left="652"/>
        <w:spacing w:after="0"/>
        <w:rPr>
          <w:sz w:val="20"/>
          <w:szCs w:val="20"/>
          <w:color w:val="auto"/>
        </w:rPr>
      </w:pPr>
      <w:r>
        <w:rPr>
          <w:rFonts w:ascii="Verdana" w:cs="Verdana" w:eastAsia="Verdana" w:hAnsi="Verdana"/>
          <w:sz w:val="18"/>
          <w:szCs w:val="18"/>
          <w:color w:val="auto"/>
        </w:rPr>
        <w:t>that the reference is accurate and not misleading. The Employee will be given notice of any changes that are made.</w:t>
      </w:r>
    </w:p>
    <w:p>
      <w:pPr>
        <w:spacing w:after="0" w:line="281" w:lineRule="exact"/>
        <w:rPr>
          <w:sz w:val="20"/>
          <w:szCs w:val="20"/>
          <w:color w:val="auto"/>
        </w:rPr>
      </w:pPr>
    </w:p>
    <w:p>
      <w:pPr>
        <w:ind w:left="632" w:hanging="632"/>
        <w:spacing w:after="0"/>
        <w:tabs>
          <w:tab w:leader="none" w:pos="632" w:val="left"/>
        </w:tabs>
        <w:numPr>
          <w:ilvl w:val="0"/>
          <w:numId w:val="46"/>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SETTLEMENT</w:t>
      </w:r>
    </w:p>
    <w:p>
      <w:pPr>
        <w:spacing w:after="0" w:line="186" w:lineRule="exact"/>
        <w:rPr>
          <w:sz w:val="20"/>
          <w:szCs w:val="20"/>
          <w:color w:val="auto"/>
        </w:rPr>
      </w:pPr>
    </w:p>
    <w:p>
      <w:pPr>
        <w:jc w:val="both"/>
        <w:ind w:left="652" w:hanging="647"/>
        <w:spacing w:after="0" w:line="278" w:lineRule="auto"/>
        <w:tabs>
          <w:tab w:leader="none" w:pos="632" w:val="left"/>
        </w:tabs>
        <w:rPr>
          <w:sz w:val="20"/>
          <w:szCs w:val="20"/>
          <w:color w:val="auto"/>
        </w:rPr>
      </w:pPr>
      <w:r>
        <w:rPr>
          <w:rFonts w:ascii="Verdana" w:cs="Verdana" w:eastAsia="Verdana" w:hAnsi="Verdana"/>
          <w:sz w:val="18"/>
          <w:szCs w:val="18"/>
          <w:color w:val="auto"/>
        </w:rPr>
        <w:t>5.1</w:t>
      </w:r>
      <w:r>
        <w:rPr>
          <w:sz w:val="20"/>
          <w:szCs w:val="20"/>
          <w:color w:val="auto"/>
        </w:rPr>
        <w:tab/>
      </w:r>
      <w:r>
        <w:rPr>
          <w:rFonts w:ascii="Verdana" w:cs="Verdana" w:eastAsia="Verdana" w:hAnsi="Verdana"/>
          <w:sz w:val="18"/>
          <w:szCs w:val="18"/>
          <w:color w:val="auto"/>
        </w:rPr>
        <w:t>The Employee agrees with the Company, for itself and for and on behalf of each other Group Company and each of its or their current or former officers, directors or employees, to accept the terms set out in this Agreement in full and final settlement of all claims that the Employee has or may have against the Company or any other Group Company or any of its or their current or former officers, directors or employees (in that capacity), whether contractual, statutory or otherwise (and whether such claims are known or could be known or are in contemplation of the parties at the Termination Date) arising out of or in connection with the Employee’s employment or its termination or his directorship or resignation from any directorship of the Company or any Group Company including for the avoidance of doubt any claims under or in connection with the Protection from Harassment Act 1997 and the Employee hereby irrevocably waives and releases the Company, each Group Company, and each of its or their current and former officers, directors and employees from any such claim. This Agreement shall not prevent the Employee from pursuing any claim:</w:t>
      </w:r>
    </w:p>
    <w:p>
      <w:pPr>
        <w:spacing w:after="0" w:line="142" w:lineRule="exact"/>
        <w:rPr>
          <w:sz w:val="20"/>
          <w:szCs w:val="20"/>
          <w:color w:val="auto"/>
        </w:rPr>
      </w:pPr>
    </w:p>
    <w:p>
      <w:pPr>
        <w:jc w:val="both"/>
        <w:ind w:left="1292" w:hanging="644"/>
        <w:spacing w:after="0" w:line="290" w:lineRule="auto"/>
        <w:tabs>
          <w:tab w:leader="none" w:pos="1280" w:val="left"/>
        </w:tabs>
        <w:numPr>
          <w:ilvl w:val="0"/>
          <w:numId w:val="47"/>
        </w:numPr>
        <w:rPr>
          <w:rFonts w:ascii="Verdana" w:cs="Verdana" w:eastAsia="Verdana" w:hAnsi="Verdana"/>
          <w:sz w:val="18"/>
          <w:szCs w:val="18"/>
          <w:color w:val="auto"/>
        </w:rPr>
      </w:pPr>
      <w:r>
        <w:rPr>
          <w:rFonts w:ascii="Verdana" w:cs="Verdana" w:eastAsia="Verdana" w:hAnsi="Verdana"/>
          <w:sz w:val="18"/>
          <w:szCs w:val="18"/>
          <w:color w:val="auto"/>
        </w:rPr>
        <w:t>to enforce this Agreement (including the terms of any cash or share award referenced in Clause 3.1(e) to 3.1(g) or Clause 3.3 including terms contained in any associated documents (but subject always to the terms of this Agreement)); or</w:t>
      </w:r>
    </w:p>
    <w:p>
      <w:pPr>
        <w:spacing w:after="0" w:line="124" w:lineRule="exact"/>
        <w:rPr>
          <w:rFonts w:ascii="Verdana" w:cs="Verdana" w:eastAsia="Verdana" w:hAnsi="Verdana"/>
          <w:sz w:val="18"/>
          <w:szCs w:val="18"/>
          <w:color w:val="auto"/>
        </w:rPr>
      </w:pPr>
    </w:p>
    <w:p>
      <w:pPr>
        <w:ind w:left="1292" w:hanging="644"/>
        <w:spacing w:after="0" w:line="299" w:lineRule="auto"/>
        <w:tabs>
          <w:tab w:leader="none" w:pos="1284" w:val="left"/>
        </w:tabs>
        <w:numPr>
          <w:ilvl w:val="0"/>
          <w:numId w:val="47"/>
        </w:numPr>
        <w:rPr>
          <w:rFonts w:ascii="Verdana" w:cs="Verdana" w:eastAsia="Verdana" w:hAnsi="Verdana"/>
          <w:sz w:val="18"/>
          <w:szCs w:val="18"/>
          <w:color w:val="auto"/>
        </w:rPr>
      </w:pPr>
      <w:r>
        <w:rPr>
          <w:rFonts w:ascii="Verdana" w:cs="Verdana" w:eastAsia="Verdana" w:hAnsi="Verdana"/>
          <w:sz w:val="18"/>
          <w:szCs w:val="18"/>
          <w:color w:val="auto"/>
        </w:rPr>
        <w:t>arising as a result of fraud by the Company or any Group Company or any of its or their current or former officers, directors or employees (in that capacity); or</w:t>
      </w:r>
    </w:p>
    <w:p>
      <w:pPr>
        <w:spacing w:after="0" w:line="129" w:lineRule="exact"/>
        <w:rPr>
          <w:rFonts w:ascii="Verdana" w:cs="Verdana" w:eastAsia="Verdana" w:hAnsi="Verdana"/>
          <w:sz w:val="18"/>
          <w:szCs w:val="18"/>
          <w:color w:val="auto"/>
        </w:rPr>
      </w:pPr>
    </w:p>
    <w:p>
      <w:pPr>
        <w:ind w:left="1292" w:hanging="644"/>
        <w:spacing w:after="0"/>
        <w:tabs>
          <w:tab w:leader="none" w:pos="1292" w:val="left"/>
        </w:tabs>
        <w:numPr>
          <w:ilvl w:val="0"/>
          <w:numId w:val="47"/>
        </w:numPr>
        <w:rPr>
          <w:rFonts w:ascii="Verdana" w:cs="Verdana" w:eastAsia="Verdana" w:hAnsi="Verdana"/>
          <w:sz w:val="18"/>
          <w:szCs w:val="18"/>
          <w:color w:val="auto"/>
        </w:rPr>
      </w:pPr>
      <w:r>
        <w:rPr>
          <w:rFonts w:ascii="Verdana" w:cs="Verdana" w:eastAsia="Verdana" w:hAnsi="Verdana"/>
          <w:sz w:val="18"/>
          <w:szCs w:val="18"/>
          <w:color w:val="auto"/>
        </w:rPr>
        <w:t>relating to pension rights that have accrued at the Termination Date; or</w:t>
      </w:r>
    </w:p>
    <w:p>
      <w:pPr>
        <w:spacing w:after="0" w:line="186" w:lineRule="exact"/>
        <w:rPr>
          <w:rFonts w:ascii="Verdana" w:cs="Verdana" w:eastAsia="Verdana" w:hAnsi="Verdana"/>
          <w:sz w:val="18"/>
          <w:szCs w:val="18"/>
          <w:color w:val="auto"/>
        </w:rPr>
      </w:pPr>
    </w:p>
    <w:p>
      <w:pPr>
        <w:jc w:val="both"/>
        <w:ind w:left="1292" w:hanging="644"/>
        <w:spacing w:after="0" w:line="281" w:lineRule="auto"/>
        <w:tabs>
          <w:tab w:leader="none" w:pos="1284" w:val="left"/>
        </w:tabs>
        <w:numPr>
          <w:ilvl w:val="0"/>
          <w:numId w:val="47"/>
        </w:numPr>
        <w:rPr>
          <w:rFonts w:ascii="Verdana" w:cs="Verdana" w:eastAsia="Verdana" w:hAnsi="Verdana"/>
          <w:sz w:val="18"/>
          <w:szCs w:val="18"/>
          <w:color w:val="auto"/>
        </w:rPr>
      </w:pPr>
      <w:r>
        <w:rPr>
          <w:rFonts w:ascii="Verdana" w:cs="Verdana" w:eastAsia="Verdana" w:hAnsi="Verdana"/>
          <w:sz w:val="18"/>
          <w:szCs w:val="18"/>
          <w:color w:val="auto"/>
        </w:rPr>
        <w:t>for personal injury where such personal injury claim is wholly unrelated to the circumstances surrounding and leading to the entry into this Agreement, and by signing this Agreement, the Employee warrants that he</w:t>
      </w:r>
    </w:p>
    <w:p>
      <w:pPr>
        <w:ind w:left="1292"/>
        <w:spacing w:after="0" w:line="284" w:lineRule="auto"/>
        <w:rPr>
          <w:rFonts w:ascii="Verdana" w:cs="Verdana" w:eastAsia="Verdana" w:hAnsi="Verdana"/>
          <w:sz w:val="18"/>
          <w:szCs w:val="18"/>
          <w:color w:val="auto"/>
        </w:rPr>
      </w:pPr>
      <w:r>
        <w:rPr>
          <w:rFonts w:ascii="Verdana" w:cs="Verdana" w:eastAsia="Verdana" w:hAnsi="Verdana"/>
          <w:sz w:val="18"/>
          <w:szCs w:val="18"/>
          <w:color w:val="auto"/>
        </w:rPr>
        <w:t>is not aware of any basis for any claims that he may have for personal injury against the Company or any other Group Company.</w:t>
      </w:r>
    </w:p>
    <w:p>
      <w:pPr>
        <w:spacing w:after="0" w:line="144" w:lineRule="exact"/>
        <w:rPr>
          <w:sz w:val="20"/>
          <w:szCs w:val="20"/>
          <w:color w:val="auto"/>
        </w:rPr>
      </w:pPr>
    </w:p>
    <w:p>
      <w:pPr>
        <w:jc w:val="both"/>
        <w:ind w:left="652" w:hanging="647"/>
        <w:spacing w:after="0" w:line="279" w:lineRule="auto"/>
        <w:tabs>
          <w:tab w:leader="none" w:pos="632" w:val="left"/>
        </w:tabs>
        <w:rPr>
          <w:sz w:val="20"/>
          <w:szCs w:val="20"/>
          <w:color w:val="auto"/>
        </w:rPr>
      </w:pPr>
      <w:r>
        <w:rPr>
          <w:rFonts w:ascii="Verdana" w:cs="Verdana" w:eastAsia="Verdana" w:hAnsi="Verdana"/>
          <w:sz w:val="18"/>
          <w:szCs w:val="18"/>
          <w:color w:val="auto"/>
        </w:rPr>
        <w:t>5.2</w:t>
      </w:r>
      <w:r>
        <w:rPr>
          <w:sz w:val="20"/>
          <w:szCs w:val="20"/>
          <w:color w:val="auto"/>
        </w:rPr>
        <w:tab/>
      </w:r>
      <w:r>
        <w:rPr>
          <w:rFonts w:ascii="Verdana" w:cs="Verdana" w:eastAsia="Verdana" w:hAnsi="Verdana"/>
          <w:sz w:val="18"/>
          <w:szCs w:val="18"/>
          <w:color w:val="auto"/>
        </w:rPr>
        <w:t>To the fullest extent permitted by law, the Company agrees with the Employee to accept the terms set out in this Agreement in full and final settlement of all claims that the Company has or may have against the Employee, whether contractual, statutory or otherwise that are based on facts known by the board of directors of Flutter Entertainment plc (or any of them) as at the date of this Agreement and arising out of or in connection with the Employee’s employment or its termination or his directorship or resignation from any directorship of the Company or any Group Company including for the avoidance of doubt any claims under or in connection with the Protection from Harassment Act 1997 and the Company hereby irrevocably waives and releases the Employee from any such claim.</w:t>
      </w:r>
    </w:p>
    <w:p>
      <w:pPr>
        <w:spacing w:after="0" w:line="180" w:lineRule="exact"/>
        <w:rPr>
          <w:sz w:val="20"/>
          <w:szCs w:val="20"/>
          <w:color w:val="auto"/>
        </w:rPr>
      </w:pPr>
    </w:p>
    <w:p>
      <w:pPr>
        <w:ind w:left="172"/>
        <w:spacing w:after="0"/>
        <w:rPr>
          <w:sz w:val="20"/>
          <w:szCs w:val="20"/>
          <w:color w:val="auto"/>
        </w:rPr>
      </w:pPr>
      <w:r>
        <w:rPr>
          <w:rFonts w:ascii="Verdana" w:cs="Verdana" w:eastAsia="Verdana" w:hAnsi="Verdana"/>
          <w:sz w:val="13"/>
          <w:szCs w:val="13"/>
          <w:color w:val="auto"/>
        </w:rPr>
        <w:t>7ï2</w:t>
      </w:r>
    </w:p>
    <w:p>
      <w:pPr>
        <w:spacing w:after="0" w:line="126" w:lineRule="exact"/>
        <w:rPr>
          <w:sz w:val="20"/>
          <w:szCs w:val="20"/>
          <w:color w:val="auto"/>
        </w:rPr>
      </w:pPr>
    </w:p>
    <w:p>
      <w:pPr>
        <w:ind w:left="12"/>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32"/>
          </w:cols>
          <w:pgMar w:left="328" w:top="1440" w:right="339" w:bottom="1440" w:gutter="0" w:footer="0" w:header="0"/>
        </w:sectPr>
      </w:pPr>
    </w:p>
    <w:bookmarkStart w:id="75" w:name="page76"/>
    <w:bookmarkEnd w:id="75"/>
    <w:p>
      <w:pPr>
        <w:spacing w:after="0" w:line="220"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5.3</w:t>
      </w:r>
      <w:r>
        <w:rPr>
          <w:sz w:val="20"/>
          <w:szCs w:val="20"/>
          <w:color w:val="auto"/>
        </w:rPr>
        <w:tab/>
      </w:r>
      <w:r>
        <w:rPr>
          <w:rFonts w:ascii="Verdana" w:cs="Verdana" w:eastAsia="Verdana" w:hAnsi="Verdana"/>
          <w:sz w:val="17"/>
          <w:szCs w:val="17"/>
          <w:color w:val="auto"/>
        </w:rPr>
        <w:t>Clause 5.2 shall not prevent the Company from pursuing any claim to enforce this Agreement.</w:t>
      </w:r>
    </w:p>
    <w:p>
      <w:pPr>
        <w:spacing w:after="0" w:line="200" w:lineRule="exact"/>
        <w:rPr>
          <w:sz w:val="20"/>
          <w:szCs w:val="20"/>
          <w:color w:val="auto"/>
        </w:rPr>
      </w:pPr>
    </w:p>
    <w:p>
      <w:pPr>
        <w:spacing w:after="0"/>
        <w:tabs>
          <w:tab w:leader="none" w:pos="640" w:val="left"/>
        </w:tabs>
        <w:rPr>
          <w:sz w:val="20"/>
          <w:szCs w:val="20"/>
          <w:color w:val="auto"/>
        </w:rPr>
      </w:pPr>
      <w:r>
        <w:rPr>
          <w:rFonts w:ascii="Verdana" w:cs="Verdana" w:eastAsia="Verdana" w:hAnsi="Verdana"/>
          <w:sz w:val="18"/>
          <w:szCs w:val="18"/>
          <w:color w:val="auto"/>
        </w:rPr>
        <w:t>5.4</w:t>
      </w:r>
      <w:r>
        <w:rPr>
          <w:sz w:val="20"/>
          <w:szCs w:val="20"/>
          <w:color w:val="auto"/>
        </w:rPr>
        <w:tab/>
      </w:r>
      <w:r>
        <w:rPr>
          <w:rFonts w:ascii="Verdana" w:cs="Verdana" w:eastAsia="Verdana" w:hAnsi="Verdana"/>
          <w:sz w:val="17"/>
          <w:szCs w:val="17"/>
          <w:color w:val="auto"/>
        </w:rPr>
        <w:t>The Employee confirms:</w:t>
      </w:r>
    </w:p>
    <w:p>
      <w:pPr>
        <w:spacing w:after="0" w:line="186" w:lineRule="exact"/>
        <w:rPr>
          <w:sz w:val="20"/>
          <w:szCs w:val="20"/>
          <w:color w:val="auto"/>
        </w:rPr>
      </w:pPr>
    </w:p>
    <w:p>
      <w:pPr>
        <w:jc w:val="both"/>
        <w:ind w:left="1300" w:hanging="644"/>
        <w:spacing w:after="0" w:line="290" w:lineRule="auto"/>
        <w:tabs>
          <w:tab w:leader="none" w:pos="1288" w:val="left"/>
        </w:tabs>
        <w:numPr>
          <w:ilvl w:val="0"/>
          <w:numId w:val="48"/>
        </w:numPr>
        <w:rPr>
          <w:rFonts w:ascii="Verdana" w:cs="Verdana" w:eastAsia="Verdana" w:hAnsi="Verdana"/>
          <w:sz w:val="18"/>
          <w:szCs w:val="18"/>
          <w:color w:val="auto"/>
        </w:rPr>
      </w:pPr>
      <w:r>
        <w:rPr>
          <w:rFonts w:ascii="Verdana" w:cs="Verdana" w:eastAsia="Verdana" w:hAnsi="Verdana"/>
          <w:sz w:val="18"/>
          <w:szCs w:val="18"/>
          <w:color w:val="auto"/>
        </w:rPr>
        <w:t>that he has taken legal advice from a relevant independent adviser within the meaning of the acts and regulations referred to at clause 5.4(c) as to the terms of this Agreement and its effect on his ability to pursue his rights before an employment tribunal;</w:t>
      </w:r>
    </w:p>
    <w:p>
      <w:pPr>
        <w:spacing w:after="0" w:line="124" w:lineRule="exact"/>
        <w:rPr>
          <w:rFonts w:ascii="Verdana" w:cs="Verdana" w:eastAsia="Verdana" w:hAnsi="Verdana"/>
          <w:sz w:val="18"/>
          <w:szCs w:val="18"/>
          <w:color w:val="auto"/>
        </w:rPr>
      </w:pPr>
    </w:p>
    <w:p>
      <w:pPr>
        <w:ind w:left="1300" w:hanging="644"/>
        <w:spacing w:after="0"/>
        <w:tabs>
          <w:tab w:leader="none" w:pos="1300" w:val="left"/>
        </w:tabs>
        <w:numPr>
          <w:ilvl w:val="0"/>
          <w:numId w:val="48"/>
        </w:numPr>
        <w:rPr>
          <w:rFonts w:ascii="Verdana" w:cs="Verdana" w:eastAsia="Verdana" w:hAnsi="Verdana"/>
          <w:sz w:val="18"/>
          <w:szCs w:val="18"/>
          <w:color w:val="auto"/>
        </w:rPr>
      </w:pPr>
      <w:r>
        <w:rPr>
          <w:rFonts w:ascii="Verdana" w:cs="Verdana" w:eastAsia="Verdana" w:hAnsi="Verdana"/>
          <w:sz w:val="18"/>
          <w:szCs w:val="18"/>
          <w:color w:val="auto"/>
        </w:rPr>
        <w:t>without prejudice to the generality of clause 5.1 that this Agreement relates to the Employee’s claims for:</w:t>
      </w:r>
    </w:p>
    <w:p>
      <w:pPr>
        <w:spacing w:after="0" w:line="199" w:lineRule="exact"/>
        <w:rPr>
          <w:rFonts w:ascii="Verdana" w:cs="Verdana" w:eastAsia="Verdana" w:hAnsi="Verdana"/>
          <w:sz w:val="18"/>
          <w:szCs w:val="18"/>
          <w:color w:val="auto"/>
        </w:rPr>
      </w:pPr>
    </w:p>
    <w:p>
      <w:pPr>
        <w:ind w:left="1940" w:hanging="636"/>
        <w:spacing w:after="0"/>
        <w:tabs>
          <w:tab w:leader="none" w:pos="194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Breach of contract or wrongful dismissal;</w:t>
      </w:r>
    </w:p>
    <w:p>
      <w:pPr>
        <w:spacing w:after="0" w:line="199" w:lineRule="exact"/>
        <w:rPr>
          <w:rFonts w:ascii="Verdana" w:cs="Verdana" w:eastAsia="Verdana" w:hAnsi="Verdana"/>
          <w:sz w:val="18"/>
          <w:szCs w:val="18"/>
          <w:color w:val="auto"/>
        </w:rPr>
      </w:pPr>
    </w:p>
    <w:p>
      <w:pPr>
        <w:ind w:left="1940" w:hanging="636"/>
        <w:spacing w:after="0"/>
        <w:tabs>
          <w:tab w:leader="none" w:pos="194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Unfair dismissal under the Employment Rights Act 1996;</w:t>
      </w:r>
    </w:p>
    <w:p>
      <w:pPr>
        <w:spacing w:after="0" w:line="186" w:lineRule="exact"/>
        <w:rPr>
          <w:rFonts w:ascii="Verdana" w:cs="Verdana" w:eastAsia="Verdana" w:hAnsi="Verdana"/>
          <w:sz w:val="18"/>
          <w:szCs w:val="18"/>
          <w:color w:val="auto"/>
        </w:rPr>
      </w:pPr>
    </w:p>
    <w:p>
      <w:pPr>
        <w:ind w:left="1940" w:hanging="636"/>
        <w:spacing w:after="0"/>
        <w:tabs>
          <w:tab w:leader="none" w:pos="194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A statutory redundancy payment under the Employment Rights Act 1996;</w:t>
      </w:r>
    </w:p>
    <w:p>
      <w:pPr>
        <w:spacing w:after="0" w:line="199" w:lineRule="exact"/>
        <w:rPr>
          <w:rFonts w:ascii="Verdana" w:cs="Verdana" w:eastAsia="Verdana" w:hAnsi="Verdana"/>
          <w:sz w:val="18"/>
          <w:szCs w:val="18"/>
          <w:color w:val="auto"/>
        </w:rPr>
      </w:pPr>
    </w:p>
    <w:p>
      <w:pPr>
        <w:ind w:left="1940" w:hanging="636"/>
        <w:spacing w:after="0"/>
        <w:tabs>
          <w:tab w:leader="none" w:pos="194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Discrimination, victimisation or harassment related to sex under the Equality Act 2010;</w:t>
      </w:r>
    </w:p>
    <w:p>
      <w:pPr>
        <w:spacing w:after="0" w:line="199" w:lineRule="exact"/>
        <w:rPr>
          <w:rFonts w:ascii="Verdana" w:cs="Verdana" w:eastAsia="Verdana" w:hAnsi="Verdana"/>
          <w:sz w:val="18"/>
          <w:szCs w:val="18"/>
          <w:color w:val="auto"/>
        </w:rPr>
      </w:pPr>
    </w:p>
    <w:p>
      <w:pPr>
        <w:ind w:left="1960" w:hanging="656"/>
        <w:spacing w:after="0" w:line="284" w:lineRule="auto"/>
        <w:tabs>
          <w:tab w:leader="none" w:pos="196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Discrimination or victimisation related to marital or civil partnership status under the Equality Act 2010;</w:t>
      </w:r>
    </w:p>
    <w:p>
      <w:pPr>
        <w:spacing w:after="0" w:line="143" w:lineRule="exact"/>
        <w:rPr>
          <w:rFonts w:ascii="Verdana" w:cs="Verdana" w:eastAsia="Verdana" w:hAnsi="Verdana"/>
          <w:sz w:val="18"/>
          <w:szCs w:val="18"/>
          <w:color w:val="auto"/>
        </w:rPr>
      </w:pPr>
    </w:p>
    <w:p>
      <w:pPr>
        <w:ind w:left="1960" w:hanging="656"/>
        <w:spacing w:after="0" w:line="299" w:lineRule="auto"/>
        <w:tabs>
          <w:tab w:leader="none" w:pos="1955"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Discrimination, victimisation or harassment related to gender reassignment under the Equality Act 2010;</w:t>
      </w:r>
    </w:p>
    <w:p>
      <w:pPr>
        <w:spacing w:after="0" w:line="116" w:lineRule="exact"/>
        <w:rPr>
          <w:rFonts w:ascii="Verdana" w:cs="Verdana" w:eastAsia="Verdana" w:hAnsi="Verdana"/>
          <w:sz w:val="18"/>
          <w:szCs w:val="18"/>
          <w:color w:val="auto"/>
        </w:rPr>
      </w:pPr>
    </w:p>
    <w:p>
      <w:pPr>
        <w:ind w:left="1940" w:hanging="636"/>
        <w:spacing w:after="0"/>
        <w:tabs>
          <w:tab w:leader="none" w:pos="194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Discrimination, victimisation or harassment related to race under the Equality Act 2010;</w:t>
      </w:r>
    </w:p>
    <w:p>
      <w:pPr>
        <w:spacing w:after="0" w:line="199" w:lineRule="exact"/>
        <w:rPr>
          <w:rFonts w:ascii="Verdana" w:cs="Verdana" w:eastAsia="Verdana" w:hAnsi="Verdana"/>
          <w:sz w:val="18"/>
          <w:szCs w:val="18"/>
          <w:color w:val="auto"/>
        </w:rPr>
      </w:pPr>
    </w:p>
    <w:p>
      <w:pPr>
        <w:ind w:left="1960" w:hanging="656"/>
        <w:spacing w:after="0"/>
        <w:tabs>
          <w:tab w:leader="none" w:pos="196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Discrimination, victimisation or harassment related to disability under the Equality Act 2010;</w:t>
      </w:r>
    </w:p>
    <w:p>
      <w:pPr>
        <w:spacing w:after="0" w:line="199" w:lineRule="exact"/>
        <w:rPr>
          <w:rFonts w:ascii="Verdana" w:cs="Verdana" w:eastAsia="Verdana" w:hAnsi="Verdana"/>
          <w:sz w:val="18"/>
          <w:szCs w:val="18"/>
          <w:color w:val="auto"/>
        </w:rPr>
      </w:pPr>
    </w:p>
    <w:p>
      <w:pPr>
        <w:ind w:left="1940" w:hanging="636"/>
        <w:spacing w:after="0"/>
        <w:tabs>
          <w:tab w:leader="none" w:pos="194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Discrimination, victimisation or harassment related to sexual orientation under the Equality Act 2010;</w:t>
      </w:r>
    </w:p>
    <w:p>
      <w:pPr>
        <w:spacing w:after="0" w:line="186" w:lineRule="exact"/>
        <w:rPr>
          <w:rFonts w:ascii="Verdana" w:cs="Verdana" w:eastAsia="Verdana" w:hAnsi="Verdana"/>
          <w:sz w:val="18"/>
          <w:szCs w:val="18"/>
          <w:color w:val="auto"/>
        </w:rPr>
      </w:pPr>
    </w:p>
    <w:p>
      <w:pPr>
        <w:ind w:left="1960" w:hanging="656"/>
        <w:spacing w:after="0"/>
        <w:tabs>
          <w:tab w:leader="none" w:pos="196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Discrimination, victimisation or harassment related to religion or belief under the Equality Act 2010;</w:t>
      </w:r>
    </w:p>
    <w:p>
      <w:pPr>
        <w:spacing w:after="0" w:line="199" w:lineRule="exact"/>
        <w:rPr>
          <w:rFonts w:ascii="Verdana" w:cs="Verdana" w:eastAsia="Verdana" w:hAnsi="Verdana"/>
          <w:sz w:val="18"/>
          <w:szCs w:val="18"/>
          <w:color w:val="auto"/>
        </w:rPr>
      </w:pPr>
    </w:p>
    <w:p>
      <w:pPr>
        <w:ind w:left="1940" w:hanging="636"/>
        <w:spacing w:after="0"/>
        <w:tabs>
          <w:tab w:leader="none" w:pos="194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Discrimination, victimisation or harassment related to age under the Equality Act 2010;</w:t>
      </w:r>
    </w:p>
    <w:p>
      <w:pPr>
        <w:spacing w:after="0" w:line="186" w:lineRule="exact"/>
        <w:rPr>
          <w:rFonts w:ascii="Verdana" w:cs="Verdana" w:eastAsia="Verdana" w:hAnsi="Verdana"/>
          <w:sz w:val="18"/>
          <w:szCs w:val="18"/>
          <w:color w:val="auto"/>
        </w:rPr>
      </w:pPr>
    </w:p>
    <w:p>
      <w:pPr>
        <w:ind w:left="1960" w:hanging="656"/>
        <w:spacing w:after="0" w:line="299" w:lineRule="auto"/>
        <w:tabs>
          <w:tab w:leader="none" w:pos="1951"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Detriment or dismissal in relation to protected disclosures under the Employment Rights Act 1996 and the Public Interest Disclosure Act 1998; and</w:t>
      </w:r>
    </w:p>
    <w:p>
      <w:pPr>
        <w:spacing w:after="0" w:line="129" w:lineRule="exact"/>
        <w:rPr>
          <w:rFonts w:ascii="Verdana" w:cs="Verdana" w:eastAsia="Verdana" w:hAnsi="Verdana"/>
          <w:sz w:val="18"/>
          <w:szCs w:val="18"/>
          <w:color w:val="auto"/>
        </w:rPr>
      </w:pPr>
    </w:p>
    <w:p>
      <w:pPr>
        <w:ind w:left="1960" w:hanging="656"/>
        <w:spacing w:after="0"/>
        <w:tabs>
          <w:tab w:leader="none" w:pos="1960" w:val="left"/>
        </w:tabs>
        <w:numPr>
          <w:ilvl w:val="1"/>
          <w:numId w:val="48"/>
        </w:numPr>
        <w:rPr>
          <w:rFonts w:ascii="Verdana" w:cs="Verdana" w:eastAsia="Verdana" w:hAnsi="Verdana"/>
          <w:sz w:val="18"/>
          <w:szCs w:val="18"/>
          <w:color w:val="auto"/>
        </w:rPr>
      </w:pPr>
      <w:r>
        <w:rPr>
          <w:rFonts w:ascii="Verdana" w:cs="Verdana" w:eastAsia="Verdana" w:hAnsi="Verdana"/>
          <w:sz w:val="18"/>
          <w:szCs w:val="18"/>
          <w:color w:val="auto"/>
        </w:rPr>
        <w:t>Unauthorised deduction from wages under the Employment Rights Act 1996;</w:t>
      </w:r>
    </w:p>
    <w:p>
      <w:pPr>
        <w:spacing w:after="0" w:line="227" w:lineRule="exact"/>
        <w:rPr>
          <w:sz w:val="20"/>
          <w:szCs w:val="20"/>
          <w:color w:val="auto"/>
        </w:rPr>
      </w:pPr>
    </w:p>
    <w:p>
      <w:pPr>
        <w:ind w:left="180"/>
        <w:spacing w:after="0"/>
        <w:rPr>
          <w:sz w:val="20"/>
          <w:szCs w:val="20"/>
          <w:color w:val="auto"/>
        </w:rPr>
      </w:pPr>
      <w:r>
        <w:rPr>
          <w:rFonts w:ascii="Verdana" w:cs="Verdana" w:eastAsia="Verdana" w:hAnsi="Verdana"/>
          <w:sz w:val="13"/>
          <w:szCs w:val="13"/>
          <w:color w:val="auto"/>
        </w:rPr>
        <w:t>8ï2</w:t>
      </w:r>
    </w:p>
    <w:p>
      <w:pPr>
        <w:spacing w:after="0" w:line="126"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20" w:lineRule="exact"/>
        <w:rPr>
          <w:sz w:val="20"/>
          <w:szCs w:val="20"/>
          <w:color w:val="auto"/>
        </w:rPr>
      </w:pPr>
    </w:p>
    <w:p>
      <w:pPr>
        <w:ind w:left="1292" w:hanging="644"/>
        <w:spacing w:after="0" w:line="299" w:lineRule="auto"/>
        <w:tabs>
          <w:tab w:leader="none" w:pos="1279" w:val="left"/>
        </w:tabs>
        <w:numPr>
          <w:ilvl w:val="1"/>
          <w:numId w:val="49"/>
        </w:numPr>
        <w:rPr>
          <w:rFonts w:ascii="Verdana" w:cs="Verdana" w:eastAsia="Verdana" w:hAnsi="Verdana"/>
          <w:sz w:val="18"/>
          <w:szCs w:val="18"/>
          <w:color w:val="auto"/>
        </w:rPr>
      </w:pPr>
      <w:r>
        <w:rPr>
          <w:rFonts w:ascii="Verdana" w:cs="Verdana" w:eastAsia="Verdana" w:hAnsi="Verdana"/>
          <w:sz w:val="18"/>
          <w:szCs w:val="18"/>
          <w:color w:val="auto"/>
        </w:rPr>
        <w:t>that the conditions regulating settlement agreements under the following provisions have been satisfied and the Employee’s independent legal adviser has signed the attached certificate confirming this:</w:t>
      </w:r>
    </w:p>
    <w:p>
      <w:pPr>
        <w:spacing w:after="0" w:line="116" w:lineRule="exact"/>
        <w:rPr>
          <w:rFonts w:ascii="Verdana" w:cs="Verdana" w:eastAsia="Verdana" w:hAnsi="Verdana"/>
          <w:sz w:val="18"/>
          <w:szCs w:val="18"/>
          <w:color w:val="auto"/>
        </w:rPr>
      </w:pPr>
    </w:p>
    <w:p>
      <w:pPr>
        <w:ind w:left="1932" w:hanging="636"/>
        <w:spacing w:after="0"/>
        <w:tabs>
          <w:tab w:leader="none" w:pos="1932" w:val="left"/>
        </w:tabs>
        <w:numPr>
          <w:ilvl w:val="2"/>
          <w:numId w:val="49"/>
        </w:numPr>
        <w:rPr>
          <w:rFonts w:ascii="Verdana" w:cs="Verdana" w:eastAsia="Verdana" w:hAnsi="Verdana"/>
          <w:sz w:val="18"/>
          <w:szCs w:val="18"/>
          <w:color w:val="auto"/>
        </w:rPr>
      </w:pPr>
      <w:r>
        <w:rPr>
          <w:rFonts w:ascii="Verdana" w:cs="Verdana" w:eastAsia="Verdana" w:hAnsi="Verdana"/>
          <w:sz w:val="18"/>
          <w:szCs w:val="18"/>
          <w:color w:val="auto"/>
        </w:rPr>
        <w:t>Section 203 of the Employment Rights Act 1996; and</w:t>
      </w:r>
    </w:p>
    <w:p>
      <w:pPr>
        <w:spacing w:after="0" w:line="199" w:lineRule="exact"/>
        <w:rPr>
          <w:rFonts w:ascii="Verdana" w:cs="Verdana" w:eastAsia="Verdana" w:hAnsi="Verdana"/>
          <w:sz w:val="18"/>
          <w:szCs w:val="18"/>
          <w:color w:val="auto"/>
        </w:rPr>
      </w:pPr>
    </w:p>
    <w:p>
      <w:pPr>
        <w:ind w:left="1932" w:hanging="636"/>
        <w:spacing w:after="0"/>
        <w:tabs>
          <w:tab w:leader="none" w:pos="1932" w:val="left"/>
        </w:tabs>
        <w:numPr>
          <w:ilvl w:val="2"/>
          <w:numId w:val="49"/>
        </w:numPr>
        <w:rPr>
          <w:rFonts w:ascii="Verdana" w:cs="Verdana" w:eastAsia="Verdana" w:hAnsi="Verdana"/>
          <w:sz w:val="18"/>
          <w:szCs w:val="18"/>
          <w:color w:val="auto"/>
        </w:rPr>
      </w:pPr>
      <w:r>
        <w:rPr>
          <w:rFonts w:ascii="Verdana" w:cs="Verdana" w:eastAsia="Verdana" w:hAnsi="Verdana"/>
          <w:sz w:val="18"/>
          <w:szCs w:val="18"/>
          <w:color w:val="auto"/>
        </w:rPr>
        <w:t>Section 147 of the Equality Act 2010;</w:t>
      </w:r>
    </w:p>
    <w:p>
      <w:pPr>
        <w:spacing w:after="0" w:line="199" w:lineRule="exact"/>
        <w:rPr>
          <w:rFonts w:ascii="Verdana" w:cs="Verdana" w:eastAsia="Verdana" w:hAnsi="Verdana"/>
          <w:sz w:val="18"/>
          <w:szCs w:val="18"/>
          <w:color w:val="auto"/>
        </w:rPr>
      </w:pPr>
    </w:p>
    <w:p>
      <w:pPr>
        <w:jc w:val="both"/>
        <w:ind w:left="1292" w:hanging="644"/>
        <w:spacing w:after="0" w:line="282" w:lineRule="auto"/>
        <w:tabs>
          <w:tab w:leader="none" w:pos="1284" w:val="left"/>
        </w:tabs>
        <w:numPr>
          <w:ilvl w:val="1"/>
          <w:numId w:val="49"/>
        </w:numPr>
        <w:rPr>
          <w:rFonts w:ascii="Verdana" w:cs="Verdana" w:eastAsia="Verdana" w:hAnsi="Verdana"/>
          <w:sz w:val="18"/>
          <w:szCs w:val="18"/>
          <w:color w:val="auto"/>
        </w:rPr>
      </w:pPr>
      <w:r>
        <w:rPr>
          <w:rFonts w:ascii="Verdana" w:cs="Verdana" w:eastAsia="Verdana" w:hAnsi="Verdana"/>
          <w:sz w:val="18"/>
          <w:szCs w:val="18"/>
          <w:color w:val="auto"/>
        </w:rPr>
        <w:t>that the only claims the Employee has or may have as at the date of this Agreement and, so far as he is aware, against the Company or any Group Company or its or their officers, directors or employees (in that capacity) relating to his employment with the Company or its termination are specified in clause 5.4(b).</w:t>
      </w:r>
    </w:p>
    <w:p>
      <w:pPr>
        <w:spacing w:after="0" w:line="200" w:lineRule="exact"/>
        <w:rPr>
          <w:rFonts w:ascii="Verdana" w:cs="Verdana" w:eastAsia="Verdana" w:hAnsi="Verdana"/>
          <w:sz w:val="18"/>
          <w:szCs w:val="18"/>
          <w:color w:val="auto"/>
        </w:rPr>
      </w:pPr>
    </w:p>
    <w:p>
      <w:pPr>
        <w:ind w:left="632" w:hanging="632"/>
        <w:spacing w:after="0"/>
        <w:tabs>
          <w:tab w:leader="none" w:pos="632" w:val="left"/>
        </w:tabs>
        <w:numPr>
          <w:ilvl w:val="0"/>
          <w:numId w:val="5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REPAYMENT CLAUSE</w:t>
      </w:r>
    </w:p>
    <w:p>
      <w:pPr>
        <w:spacing w:after="0" w:line="254" w:lineRule="exact"/>
        <w:rPr>
          <w:sz w:val="20"/>
          <w:szCs w:val="20"/>
          <w:color w:val="auto"/>
        </w:rPr>
      </w:pPr>
    </w:p>
    <w:p>
      <w:pPr>
        <w:jc w:val="both"/>
        <w:ind w:left="652"/>
        <w:spacing w:after="0" w:line="322" w:lineRule="auto"/>
        <w:rPr>
          <w:sz w:val="20"/>
          <w:szCs w:val="20"/>
          <w:color w:val="auto"/>
        </w:rPr>
      </w:pPr>
      <w:r>
        <w:rPr>
          <w:rFonts w:ascii="Verdana" w:cs="Verdana" w:eastAsia="Verdana" w:hAnsi="Verdana"/>
          <w:sz w:val="18"/>
          <w:szCs w:val="18"/>
          <w:b w:val="1"/>
          <w:bCs w:val="1"/>
          <w:color w:val="auto"/>
        </w:rPr>
        <w:t xml:space="preserve">7. </w:t>
      </w:r>
      <w:r>
        <w:rPr>
          <w:rFonts w:ascii="Verdana" w:cs="Verdana" w:eastAsia="Verdana" w:hAnsi="Verdana"/>
          <w:sz w:val="18"/>
          <w:szCs w:val="18"/>
          <w:color w:val="auto"/>
        </w:rPr>
        <w:t>If the Employee pursues a claim in breach of Clause 5.1 or Clause 5.4(b) against the Company or any Group</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Company relating to his employment or its termination or his directorship or resignation from any directorship of the Company or any Group Company or if he breaches in any material respect any of Clauses 7, 8, 12, 13 or 15 of this Agreement he acknowledges and agrees that the net amount of any payment or value of any benefit provided to him under clauses 3.1(d) to 3.1(i) of this Agreement (inclusive) shall be immediately repayable to the Company upon demand and the Company shall be released from any continuing obligations under this Agreement. For the purposes of assessing the Employee’s compliance with Clauses 8, 12 and 13, any breach that has not caused, and is not reasonably likely to cause, substantial financial and/or reputational damage to the Group’s business or to any member of the board of directors of Flutter Entertainment plc or its Executive Committee shall be disregarded.</w:t>
      </w:r>
    </w:p>
    <w:p>
      <w:pPr>
        <w:spacing w:after="0" w:line="193" w:lineRule="exact"/>
        <w:rPr>
          <w:sz w:val="20"/>
          <w:szCs w:val="20"/>
          <w:color w:val="auto"/>
        </w:rPr>
      </w:pPr>
    </w:p>
    <w:p>
      <w:pPr>
        <w:ind w:left="632" w:hanging="632"/>
        <w:spacing w:after="0"/>
        <w:tabs>
          <w:tab w:leader="none" w:pos="632" w:val="left"/>
        </w:tabs>
        <w:numPr>
          <w:ilvl w:val="0"/>
          <w:numId w:val="5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REAFFIRMATION CERTIFICATE</w:t>
      </w:r>
    </w:p>
    <w:p>
      <w:pPr>
        <w:spacing w:after="0" w:line="253" w:lineRule="exact"/>
        <w:rPr>
          <w:rFonts w:ascii="Verdana" w:cs="Verdana" w:eastAsia="Verdana" w:hAnsi="Verdana"/>
          <w:sz w:val="18"/>
          <w:szCs w:val="18"/>
          <w:b w:val="1"/>
          <w:bCs w:val="1"/>
          <w:color w:val="auto"/>
        </w:rPr>
      </w:pPr>
    </w:p>
    <w:p>
      <w:pPr>
        <w:ind w:left="652"/>
        <w:spacing w:after="0" w:line="343" w:lineRule="auto"/>
        <w:rPr>
          <w:rFonts w:ascii="Verdana" w:cs="Verdana" w:eastAsia="Verdana" w:hAnsi="Verdana"/>
          <w:sz w:val="18"/>
          <w:szCs w:val="18"/>
          <w:b w:val="1"/>
          <w:bCs w:val="1"/>
          <w:color w:val="auto"/>
        </w:rPr>
      </w:pPr>
      <w:r>
        <w:rPr>
          <w:rFonts w:ascii="Verdana" w:cs="Verdana" w:eastAsia="Verdana" w:hAnsi="Verdana"/>
          <w:sz w:val="18"/>
          <w:szCs w:val="18"/>
          <w:color w:val="auto"/>
        </w:rPr>
        <w:t>The Employee agrees to provide on or within seven days of the Termination Date a written reaffirmation certificate reaffirming the waiver in clause 5 in the form set out at Schedule 2.</w:t>
      </w:r>
    </w:p>
    <w:p>
      <w:pPr>
        <w:spacing w:after="0" w:line="157" w:lineRule="exact"/>
        <w:rPr>
          <w:rFonts w:ascii="Verdana" w:cs="Verdana" w:eastAsia="Verdana" w:hAnsi="Verdana"/>
          <w:sz w:val="18"/>
          <w:szCs w:val="18"/>
          <w:b w:val="1"/>
          <w:bCs w:val="1"/>
          <w:color w:val="auto"/>
        </w:rPr>
      </w:pPr>
    </w:p>
    <w:p>
      <w:pPr>
        <w:ind w:left="632" w:hanging="632"/>
        <w:spacing w:after="0"/>
        <w:tabs>
          <w:tab w:leader="none" w:pos="632" w:val="left"/>
        </w:tabs>
        <w:numPr>
          <w:ilvl w:val="0"/>
          <w:numId w:val="5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RESTRICTIVE COVENANTS AND CONFIDENTIAL INFORMATION</w:t>
      </w:r>
    </w:p>
    <w:p>
      <w:pPr>
        <w:spacing w:after="0" w:line="200" w:lineRule="exact"/>
        <w:rPr>
          <w:sz w:val="20"/>
          <w:szCs w:val="20"/>
          <w:color w:val="auto"/>
        </w:rPr>
      </w:pPr>
    </w:p>
    <w:p>
      <w:pPr>
        <w:jc w:val="both"/>
        <w:ind w:left="652" w:hanging="647"/>
        <w:spacing w:after="0" w:line="282" w:lineRule="auto"/>
        <w:tabs>
          <w:tab w:leader="none" w:pos="632" w:val="left"/>
        </w:tabs>
        <w:rPr>
          <w:sz w:val="20"/>
          <w:szCs w:val="20"/>
          <w:color w:val="auto"/>
        </w:rPr>
      </w:pPr>
      <w:r>
        <w:rPr>
          <w:rFonts w:ascii="Verdana" w:cs="Verdana" w:eastAsia="Verdana" w:hAnsi="Verdana"/>
          <w:sz w:val="18"/>
          <w:szCs w:val="18"/>
          <w:color w:val="auto"/>
        </w:rPr>
        <w:t>9.1</w:t>
      </w:r>
      <w:r>
        <w:rPr>
          <w:sz w:val="20"/>
          <w:szCs w:val="20"/>
          <w:color w:val="auto"/>
        </w:rPr>
        <w:tab/>
      </w:r>
      <w:r>
        <w:rPr>
          <w:rFonts w:ascii="Verdana" w:cs="Verdana" w:eastAsia="Verdana" w:hAnsi="Verdana"/>
          <w:sz w:val="18"/>
          <w:szCs w:val="18"/>
          <w:color w:val="auto"/>
        </w:rPr>
        <w:t>The Employee acknowledges that the provisions of clause 20 of the Service Agreement will remain in full force and effect notwithstanding the termination of the Employee’s employment and that he will continue to comply with these provisions.</w:t>
      </w:r>
    </w:p>
    <w:p>
      <w:pPr>
        <w:spacing w:after="0" w:line="147" w:lineRule="exact"/>
        <w:rPr>
          <w:sz w:val="20"/>
          <w:szCs w:val="20"/>
          <w:color w:val="auto"/>
        </w:rPr>
      </w:pPr>
    </w:p>
    <w:p>
      <w:pPr>
        <w:jc w:val="both"/>
        <w:ind w:left="652" w:hanging="647"/>
        <w:spacing w:after="0" w:line="299" w:lineRule="auto"/>
        <w:tabs>
          <w:tab w:leader="none" w:pos="632" w:val="left"/>
        </w:tabs>
        <w:rPr>
          <w:sz w:val="20"/>
          <w:szCs w:val="20"/>
          <w:color w:val="auto"/>
        </w:rPr>
      </w:pPr>
      <w:r>
        <w:rPr>
          <w:rFonts w:ascii="Verdana" w:cs="Verdana" w:eastAsia="Verdana" w:hAnsi="Verdana"/>
          <w:sz w:val="18"/>
          <w:szCs w:val="18"/>
          <w:color w:val="auto"/>
        </w:rPr>
        <w:t>9.2</w:t>
      </w:r>
      <w:r>
        <w:rPr>
          <w:sz w:val="20"/>
          <w:szCs w:val="20"/>
          <w:color w:val="auto"/>
        </w:rPr>
        <w:tab/>
      </w:r>
      <w:r>
        <w:rPr>
          <w:rFonts w:ascii="Verdana" w:cs="Verdana" w:eastAsia="Verdana" w:hAnsi="Verdana"/>
          <w:sz w:val="18"/>
          <w:szCs w:val="18"/>
          <w:color w:val="auto"/>
        </w:rPr>
        <w:t>The Employee will continue to comply with the provisions of clause 19 of the Service Agreement relating to confidential information.</w:t>
      </w:r>
    </w:p>
    <w:p>
      <w:pPr>
        <w:spacing w:after="0" w:line="157" w:lineRule="exact"/>
        <w:rPr>
          <w:sz w:val="20"/>
          <w:szCs w:val="20"/>
          <w:color w:val="auto"/>
        </w:rPr>
      </w:pPr>
    </w:p>
    <w:p>
      <w:pPr>
        <w:ind w:left="172"/>
        <w:spacing w:after="0"/>
        <w:rPr>
          <w:sz w:val="20"/>
          <w:szCs w:val="20"/>
          <w:color w:val="auto"/>
        </w:rPr>
      </w:pPr>
      <w:r>
        <w:rPr>
          <w:rFonts w:ascii="Verdana" w:cs="Verdana" w:eastAsia="Verdana" w:hAnsi="Verdana"/>
          <w:sz w:val="13"/>
          <w:szCs w:val="13"/>
          <w:color w:val="auto"/>
        </w:rPr>
        <w:t>9ï2</w:t>
      </w:r>
    </w:p>
    <w:p>
      <w:pPr>
        <w:spacing w:after="0" w:line="126" w:lineRule="exact"/>
        <w:rPr>
          <w:sz w:val="20"/>
          <w:szCs w:val="20"/>
          <w:color w:val="auto"/>
        </w:rPr>
      </w:pPr>
    </w:p>
    <w:p>
      <w:pPr>
        <w:ind w:left="12"/>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32"/>
          </w:cols>
          <w:pgMar w:left="328" w:top="1440" w:right="339" w:bottom="1440" w:gutter="0" w:footer="0" w:header="0"/>
        </w:sectPr>
      </w:pPr>
    </w:p>
    <w:bookmarkStart w:id="77" w:name="page78"/>
    <w:bookmarkEnd w:id="77"/>
    <w:p>
      <w:pPr>
        <w:spacing w:after="0" w:line="220" w:lineRule="exact"/>
        <w:rPr>
          <w:sz w:val="20"/>
          <w:szCs w:val="20"/>
          <w:color w:val="auto"/>
        </w:rPr>
      </w:pPr>
    </w:p>
    <w:p>
      <w:pPr>
        <w:ind w:left="652" w:hanging="652"/>
        <w:spacing w:after="0"/>
        <w:tabs>
          <w:tab w:leader="none" w:pos="652" w:val="left"/>
        </w:tabs>
        <w:numPr>
          <w:ilvl w:val="0"/>
          <w:numId w:val="5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RETURN OF COMPANY PROPERTY</w:t>
      </w:r>
    </w:p>
    <w:p>
      <w:pPr>
        <w:spacing w:after="0" w:line="200" w:lineRule="exact"/>
        <w:rPr>
          <w:sz w:val="20"/>
          <w:szCs w:val="20"/>
          <w:color w:val="auto"/>
        </w:rPr>
      </w:pPr>
    </w:p>
    <w:p>
      <w:pPr>
        <w:jc w:val="both"/>
        <w:ind w:left="632" w:hanging="647"/>
        <w:spacing w:after="0" w:line="278" w:lineRule="auto"/>
        <w:tabs>
          <w:tab w:leader="none" w:pos="612" w:val="left"/>
        </w:tabs>
        <w:rPr>
          <w:sz w:val="20"/>
          <w:szCs w:val="20"/>
          <w:color w:val="auto"/>
        </w:rPr>
      </w:pPr>
      <w:r>
        <w:rPr>
          <w:rFonts w:ascii="Verdana" w:cs="Verdana" w:eastAsia="Verdana" w:hAnsi="Verdana"/>
          <w:sz w:val="18"/>
          <w:szCs w:val="18"/>
          <w:color w:val="auto"/>
        </w:rPr>
        <w:t>10.1</w:t>
        <w:tab/>
        <w:t>In accordance with clause 17.14 of the Service Agreement, except for papers, documents and information provided to the Employee in his personal capacity insofar as they relate to his employment, directorship or shareholding, the Employee will return to the Company no later than the Termination Date all papers, documents and information in any form (including copies and whether written or on disc, USB stick or other electronic format), and any other property provided to him by the Company or any other Group Company, whether or not owned by a Group Company, which is currently in the Employee’s possession, custody or power. If any property belonging to the Company or any other Group Company subsequently comes into the Employee’s possession, custody or power the Employee agrees to return it to the Company immediately. The Employee further undertakes that he has not taken unauthorised copies of any papers or documents or information in any form.</w:t>
      </w:r>
    </w:p>
    <w:p>
      <w:pPr>
        <w:spacing w:after="0" w:line="203" w:lineRule="exact"/>
        <w:rPr>
          <w:sz w:val="20"/>
          <w:szCs w:val="20"/>
          <w:color w:val="auto"/>
        </w:rPr>
      </w:pPr>
    </w:p>
    <w:p>
      <w:pPr>
        <w:ind w:left="652" w:hanging="652"/>
        <w:spacing w:after="0"/>
        <w:tabs>
          <w:tab w:leader="none" w:pos="652" w:val="left"/>
        </w:tabs>
        <w:numPr>
          <w:ilvl w:val="0"/>
          <w:numId w:val="53"/>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DIRECTOR RESIGNATIONS</w:t>
      </w:r>
    </w:p>
    <w:p>
      <w:pPr>
        <w:spacing w:after="0" w:line="186" w:lineRule="exact"/>
        <w:rPr>
          <w:sz w:val="20"/>
          <w:szCs w:val="20"/>
          <w:color w:val="auto"/>
        </w:rPr>
      </w:pPr>
    </w:p>
    <w:p>
      <w:pPr>
        <w:jc w:val="both"/>
        <w:ind w:left="632" w:hanging="647"/>
        <w:spacing w:after="0" w:line="279" w:lineRule="auto"/>
        <w:tabs>
          <w:tab w:leader="none" w:pos="612" w:val="left"/>
        </w:tabs>
        <w:rPr>
          <w:sz w:val="20"/>
          <w:szCs w:val="20"/>
          <w:color w:val="auto"/>
        </w:rPr>
      </w:pPr>
      <w:r>
        <w:rPr>
          <w:rFonts w:ascii="Verdana" w:cs="Verdana" w:eastAsia="Verdana" w:hAnsi="Verdana"/>
          <w:sz w:val="18"/>
          <w:szCs w:val="18"/>
          <w:color w:val="auto"/>
        </w:rPr>
        <w:t>11.1</w:t>
        <w:tab/>
        <w:t>The Employee agrees that, on 30 September 2026, he shall resign as a director of Flutter Entertainment plc and his directorships, offices and positions that he may hold with the Company and other Group Companies with effect from that date and from any other offices, trusteeships or positions that he may hold by virtue of his employment with the Company by delivering a letter of resignation in the terms of the attached Schedule 1 addressed to the directors of each company listed in Schedule A and, to the extent additional formalities are required in relation to resignation from directorships, offices and positions held with any Group Company incorporated outside of the UK, by taking such additional reasonable steps as are required to effect such resignation, at the Company’s cost.</w:t>
      </w:r>
    </w:p>
    <w:p>
      <w:pPr>
        <w:spacing w:after="0" w:line="204" w:lineRule="exact"/>
        <w:rPr>
          <w:sz w:val="20"/>
          <w:szCs w:val="20"/>
          <w:color w:val="auto"/>
        </w:rPr>
      </w:pPr>
    </w:p>
    <w:p>
      <w:pPr>
        <w:ind w:left="652" w:hanging="652"/>
        <w:spacing w:after="0"/>
        <w:tabs>
          <w:tab w:leader="none" w:pos="652" w:val="left"/>
        </w:tabs>
        <w:numPr>
          <w:ilvl w:val="0"/>
          <w:numId w:val="5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D&amp;O INSURANCE</w:t>
      </w:r>
    </w:p>
    <w:p>
      <w:pPr>
        <w:spacing w:after="0" w:line="199" w:lineRule="exact"/>
        <w:rPr>
          <w:rFonts w:ascii="Verdana" w:cs="Verdana" w:eastAsia="Verdana" w:hAnsi="Verdana"/>
          <w:sz w:val="18"/>
          <w:szCs w:val="18"/>
          <w:b w:val="1"/>
          <w:bCs w:val="1"/>
          <w:color w:val="auto"/>
        </w:rPr>
      </w:pPr>
    </w:p>
    <w:p>
      <w:pPr>
        <w:jc w:val="both"/>
        <w:ind w:left="652"/>
        <w:spacing w:after="0" w:line="326" w:lineRule="auto"/>
        <w:rPr>
          <w:rFonts w:ascii="Verdana" w:cs="Verdana" w:eastAsia="Verdana" w:hAnsi="Verdana"/>
          <w:sz w:val="18"/>
          <w:szCs w:val="18"/>
          <w:b w:val="1"/>
          <w:bCs w:val="1"/>
          <w:color w:val="auto"/>
        </w:rPr>
      </w:pPr>
      <w:r>
        <w:rPr>
          <w:rFonts w:ascii="Verdana" w:cs="Verdana" w:eastAsia="Verdana" w:hAnsi="Verdana"/>
          <w:sz w:val="18"/>
          <w:szCs w:val="18"/>
          <w:color w:val="auto"/>
        </w:rPr>
        <w:t>For six years following the Termination Date, the Company will procure that the Employee continues to be covered under the Company’s Directors, Officers and Professional insurance cover on terms no less favourable than those in place from time to time for members of the Board in respect of the period during which the Employee was a director or officer of the Company or any other Group Company, provided that such cover is maintained for directors or officers of the Company or any other Group Company generally).</w:t>
      </w:r>
    </w:p>
    <w:p>
      <w:pPr>
        <w:spacing w:after="0" w:line="174" w:lineRule="exact"/>
        <w:rPr>
          <w:rFonts w:ascii="Verdana" w:cs="Verdana" w:eastAsia="Verdana" w:hAnsi="Verdana"/>
          <w:sz w:val="18"/>
          <w:szCs w:val="18"/>
          <w:b w:val="1"/>
          <w:bCs w:val="1"/>
          <w:color w:val="auto"/>
        </w:rPr>
      </w:pPr>
    </w:p>
    <w:p>
      <w:pPr>
        <w:ind w:left="652" w:hanging="652"/>
        <w:spacing w:after="0"/>
        <w:tabs>
          <w:tab w:leader="none" w:pos="652" w:val="left"/>
        </w:tabs>
        <w:numPr>
          <w:ilvl w:val="0"/>
          <w:numId w:val="54"/>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PUBLIC STATEMENT OR ANNOUNCEMENT</w:t>
      </w:r>
    </w:p>
    <w:p>
      <w:pPr>
        <w:spacing w:after="0" w:line="213" w:lineRule="exact"/>
        <w:rPr>
          <w:rFonts w:ascii="Verdana" w:cs="Verdana" w:eastAsia="Verdana" w:hAnsi="Verdana"/>
          <w:sz w:val="18"/>
          <w:szCs w:val="18"/>
          <w:b w:val="1"/>
          <w:bCs w:val="1"/>
          <w:color w:val="auto"/>
        </w:rPr>
      </w:pPr>
    </w:p>
    <w:p>
      <w:pPr>
        <w:jc w:val="both"/>
        <w:ind w:left="652"/>
        <w:spacing w:after="0" w:line="322" w:lineRule="auto"/>
        <w:rPr>
          <w:rFonts w:ascii="Verdana" w:cs="Verdana" w:eastAsia="Verdana" w:hAnsi="Verdana"/>
          <w:sz w:val="18"/>
          <w:szCs w:val="18"/>
          <w:b w:val="1"/>
          <w:bCs w:val="1"/>
          <w:color w:val="auto"/>
        </w:rPr>
      </w:pPr>
      <w:r>
        <w:rPr>
          <w:rFonts w:ascii="Verdana" w:cs="Verdana" w:eastAsia="Verdana" w:hAnsi="Verdana"/>
          <w:sz w:val="18"/>
          <w:szCs w:val="18"/>
          <w:color w:val="auto"/>
        </w:rPr>
        <w:t>Save as required by law or any regulatory authority, it is agreed that any public statement or announcement that will be made by either party concerning the termination of the Employee’s employment and/or the Employee’s resignation from office shall be consistent with the announcement attached at Schedule 4 or as otherwise agreed. Nothing in this Agreement shall prevent the Company or the Employee from responding to any questions that may be raised by investors in</w:t>
      </w:r>
    </w:p>
    <w:p>
      <w:pPr>
        <w:spacing w:after="0" w:line="180" w:lineRule="exact"/>
        <w:rPr>
          <w:sz w:val="20"/>
          <w:szCs w:val="20"/>
          <w:color w:val="auto"/>
        </w:rPr>
      </w:pPr>
    </w:p>
    <w:p>
      <w:pPr>
        <w:ind w:left="172"/>
        <w:spacing w:after="0"/>
        <w:rPr>
          <w:sz w:val="20"/>
          <w:szCs w:val="20"/>
          <w:color w:val="auto"/>
        </w:rPr>
      </w:pPr>
      <w:r>
        <w:rPr>
          <w:rFonts w:ascii="Verdana" w:cs="Verdana" w:eastAsia="Verdana" w:hAnsi="Verdana"/>
          <w:sz w:val="13"/>
          <w:szCs w:val="13"/>
          <w:color w:val="auto"/>
        </w:rPr>
        <w:t>10ï2</w:t>
      </w:r>
    </w:p>
    <w:p>
      <w:pPr>
        <w:spacing w:after="0" w:line="112" w:lineRule="exact"/>
        <w:rPr>
          <w:sz w:val="20"/>
          <w:szCs w:val="20"/>
          <w:color w:val="auto"/>
        </w:rPr>
      </w:pPr>
    </w:p>
    <w:p>
      <w:pPr>
        <w:ind w:left="12"/>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32"/>
          </w:cols>
          <w:pgMar w:left="328" w:top="1440" w:right="339" w:bottom="1440" w:gutter="0" w:footer="0" w:header="0"/>
        </w:sectPr>
      </w:pPr>
    </w:p>
    <w:bookmarkStart w:id="78" w:name="page79"/>
    <w:bookmarkEnd w:id="78"/>
    <w:p>
      <w:pPr>
        <w:spacing w:after="0" w:line="234" w:lineRule="exact"/>
        <w:rPr>
          <w:sz w:val="20"/>
          <w:szCs w:val="20"/>
          <w:color w:val="auto"/>
        </w:rPr>
      </w:pPr>
    </w:p>
    <w:p>
      <w:pPr>
        <w:jc w:val="both"/>
        <w:ind w:left="660"/>
        <w:spacing w:after="0" w:line="327" w:lineRule="auto"/>
        <w:rPr>
          <w:sz w:val="20"/>
          <w:szCs w:val="20"/>
          <w:color w:val="auto"/>
        </w:rPr>
      </w:pPr>
      <w:r>
        <w:rPr>
          <w:rFonts w:ascii="Verdana" w:cs="Verdana" w:eastAsia="Verdana" w:hAnsi="Verdana"/>
          <w:sz w:val="18"/>
          <w:szCs w:val="18"/>
          <w:color w:val="auto"/>
        </w:rPr>
        <w:t>connection with the termination and/or resignation or from correcting any inaccurate public statements or rumours in connection with the termination and/or resignation and provided always that any such statements are not inconsistent with the agreed announcement or from responding to any questions that may be raised by regulators.</w:t>
      </w:r>
    </w:p>
    <w:p>
      <w:pPr>
        <w:spacing w:after="0" w:line="186" w:lineRule="exact"/>
        <w:rPr>
          <w:sz w:val="20"/>
          <w:szCs w:val="20"/>
          <w:color w:val="auto"/>
        </w:rPr>
      </w:pPr>
    </w:p>
    <w:p>
      <w:pPr>
        <w:ind w:left="660" w:hanging="652"/>
        <w:spacing w:after="0"/>
        <w:tabs>
          <w:tab w:leader="none" w:pos="660" w:val="left"/>
        </w:tabs>
        <w:numPr>
          <w:ilvl w:val="0"/>
          <w:numId w:val="55"/>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NON-DISCLOSURE</w:t>
      </w:r>
    </w:p>
    <w:p>
      <w:pPr>
        <w:spacing w:after="0" w:line="186"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Verdana" w:cs="Verdana" w:eastAsia="Verdana" w:hAnsi="Verdana"/>
          <w:sz w:val="18"/>
          <w:szCs w:val="18"/>
          <w:color w:val="auto"/>
        </w:rPr>
        <w:t>14.1</w:t>
        <w:tab/>
        <w:t>Subject to clause 13.3, neither the Employee nor the Company will disclose the circumstances concerning the termination of the Employee’s employment or the existence or terms of this Agreement to anyone (whether orally or in writing, including, without limitation, any disclosure on any social media platform or, in the case of the Employee, any personal web page).</w:t>
      </w:r>
    </w:p>
    <w:p>
      <w:pPr>
        <w:spacing w:after="0" w:line="146" w:lineRule="exact"/>
        <w:rPr>
          <w:sz w:val="20"/>
          <w:szCs w:val="20"/>
          <w:color w:val="auto"/>
        </w:rPr>
      </w:pPr>
    </w:p>
    <w:p>
      <w:pPr>
        <w:jc w:val="both"/>
        <w:ind w:left="640" w:hanging="647"/>
        <w:spacing w:after="0" w:line="279" w:lineRule="auto"/>
        <w:tabs>
          <w:tab w:leader="none" w:pos="620" w:val="left"/>
        </w:tabs>
        <w:rPr>
          <w:sz w:val="20"/>
          <w:szCs w:val="20"/>
          <w:color w:val="auto"/>
        </w:rPr>
      </w:pPr>
      <w:r>
        <w:rPr>
          <w:rFonts w:ascii="Verdana" w:cs="Verdana" w:eastAsia="Verdana" w:hAnsi="Verdana"/>
          <w:sz w:val="18"/>
          <w:szCs w:val="18"/>
          <w:color w:val="auto"/>
        </w:rPr>
        <w:t>14.2</w:t>
        <w:tab/>
        <w:t>Subject to clause 13.3, it is agreed that the Employee will not make any derogatory or disparaging comments (whether orally or in writing, including without limitation, any comments on any social media platform or, in the case of the Employee, any personal web page) about the Company or any Group Company, its or their officers, directors, shareholders or employees (in that capacity), and the board of directors of Flutter Entertainment plc or its Executive Committee (in any capacity) and that the Company shall use reasonable endeavours to ensure that the board of directors of Flutter Entertainment plc shall not make any such comments about the Employee.</w:t>
      </w:r>
    </w:p>
    <w:p>
      <w:pPr>
        <w:spacing w:after="0" w:line="148"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8"/>
          <w:szCs w:val="18"/>
          <w:color w:val="auto"/>
        </w:rPr>
        <w:t>14.3</w:t>
      </w:r>
      <w:r>
        <w:rPr>
          <w:sz w:val="20"/>
          <w:szCs w:val="20"/>
          <w:color w:val="auto"/>
        </w:rPr>
        <w:tab/>
      </w:r>
      <w:r>
        <w:rPr>
          <w:rFonts w:ascii="Verdana" w:cs="Verdana" w:eastAsia="Verdana" w:hAnsi="Verdana"/>
          <w:sz w:val="17"/>
          <w:szCs w:val="17"/>
          <w:color w:val="auto"/>
        </w:rPr>
        <w:t>Nothing in this clause 13 shall prevent:</w:t>
      </w:r>
    </w:p>
    <w:p>
      <w:pPr>
        <w:spacing w:after="0" w:line="200" w:lineRule="exact"/>
        <w:rPr>
          <w:sz w:val="20"/>
          <w:szCs w:val="20"/>
          <w:color w:val="auto"/>
        </w:rPr>
      </w:pPr>
    </w:p>
    <w:p>
      <w:pPr>
        <w:ind w:left="1300" w:hanging="644"/>
        <w:spacing w:after="0"/>
        <w:tabs>
          <w:tab w:leader="none" w:pos="1300" w:val="left"/>
        </w:tabs>
        <w:numPr>
          <w:ilvl w:val="0"/>
          <w:numId w:val="56"/>
        </w:numPr>
        <w:rPr>
          <w:rFonts w:ascii="Verdana" w:cs="Verdana" w:eastAsia="Verdana" w:hAnsi="Verdana"/>
          <w:sz w:val="18"/>
          <w:szCs w:val="18"/>
          <w:color w:val="auto"/>
        </w:rPr>
      </w:pPr>
      <w:r>
        <w:rPr>
          <w:rFonts w:ascii="Verdana" w:cs="Verdana" w:eastAsia="Verdana" w:hAnsi="Verdana"/>
          <w:sz w:val="18"/>
          <w:szCs w:val="18"/>
          <w:color w:val="auto"/>
        </w:rPr>
        <w:t>either party from:</w:t>
      </w:r>
    </w:p>
    <w:p>
      <w:pPr>
        <w:spacing w:after="0" w:line="186" w:lineRule="exact"/>
        <w:rPr>
          <w:rFonts w:ascii="Verdana" w:cs="Verdana" w:eastAsia="Verdana" w:hAnsi="Verdana"/>
          <w:sz w:val="18"/>
          <w:szCs w:val="18"/>
          <w:color w:val="auto"/>
        </w:rPr>
      </w:pPr>
    </w:p>
    <w:p>
      <w:pPr>
        <w:ind w:left="1940" w:hanging="636"/>
        <w:spacing w:after="0"/>
        <w:tabs>
          <w:tab w:leader="none" w:pos="194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complying with any legal disclosure requirement;</w:t>
      </w:r>
    </w:p>
    <w:p>
      <w:pPr>
        <w:spacing w:after="0" w:line="199" w:lineRule="exact"/>
        <w:rPr>
          <w:rFonts w:ascii="Verdana" w:cs="Verdana" w:eastAsia="Verdana" w:hAnsi="Verdana"/>
          <w:sz w:val="18"/>
          <w:szCs w:val="18"/>
          <w:color w:val="auto"/>
        </w:rPr>
      </w:pPr>
    </w:p>
    <w:p>
      <w:pPr>
        <w:ind w:left="1960" w:hanging="656"/>
        <w:spacing w:after="0" w:line="299" w:lineRule="auto"/>
        <w:tabs>
          <w:tab w:leader="none" w:pos="1952"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making a disclosure to, or cooperating with any investigation or prosecution by any regulatory authority, the police or any other law enforcement agency;</w:t>
      </w:r>
    </w:p>
    <w:p>
      <w:pPr>
        <w:spacing w:after="0" w:line="116" w:lineRule="exact"/>
        <w:rPr>
          <w:rFonts w:ascii="Verdana" w:cs="Verdana" w:eastAsia="Verdana" w:hAnsi="Verdana"/>
          <w:sz w:val="18"/>
          <w:szCs w:val="18"/>
          <w:color w:val="auto"/>
        </w:rPr>
      </w:pPr>
    </w:p>
    <w:p>
      <w:pPr>
        <w:ind w:left="1940" w:hanging="636"/>
        <w:spacing w:after="0"/>
        <w:tabs>
          <w:tab w:leader="none" w:pos="194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making a disclosure to its professional advisers (including any medical adviser or counsellor);</w:t>
      </w:r>
    </w:p>
    <w:p>
      <w:pPr>
        <w:spacing w:after="0" w:line="199" w:lineRule="exact"/>
        <w:rPr>
          <w:rFonts w:ascii="Verdana" w:cs="Verdana" w:eastAsia="Verdana" w:hAnsi="Verdana"/>
          <w:sz w:val="18"/>
          <w:szCs w:val="18"/>
          <w:color w:val="auto"/>
        </w:rPr>
      </w:pPr>
    </w:p>
    <w:p>
      <w:pPr>
        <w:ind w:left="1940" w:hanging="636"/>
        <w:spacing w:after="0"/>
        <w:tabs>
          <w:tab w:leader="none" w:pos="194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making a disclosure to its insurers for the purposes of processing an insurance claim;</w:t>
      </w:r>
    </w:p>
    <w:p>
      <w:pPr>
        <w:spacing w:after="0" w:line="199" w:lineRule="exact"/>
        <w:rPr>
          <w:rFonts w:ascii="Verdana" w:cs="Verdana" w:eastAsia="Verdana" w:hAnsi="Verdana"/>
          <w:sz w:val="18"/>
          <w:szCs w:val="18"/>
          <w:color w:val="auto"/>
        </w:rPr>
      </w:pPr>
    </w:p>
    <w:p>
      <w:pPr>
        <w:ind w:left="1960" w:hanging="656"/>
        <w:spacing w:after="0" w:line="284" w:lineRule="auto"/>
        <w:tabs>
          <w:tab w:leader="none" w:pos="196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disclosing the circumstances of the Employee’s departure in a manner that is not inconsistent with the announcement; or</w:t>
      </w:r>
    </w:p>
    <w:p>
      <w:pPr>
        <w:spacing w:after="0" w:line="143" w:lineRule="exact"/>
        <w:rPr>
          <w:rFonts w:ascii="Verdana" w:cs="Verdana" w:eastAsia="Verdana" w:hAnsi="Verdana"/>
          <w:sz w:val="18"/>
          <w:szCs w:val="18"/>
          <w:color w:val="auto"/>
        </w:rPr>
      </w:pPr>
    </w:p>
    <w:p>
      <w:pPr>
        <w:ind w:left="1940" w:hanging="636"/>
        <w:spacing w:after="0"/>
        <w:tabs>
          <w:tab w:leader="none" w:pos="194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enforcing the terms of this Agreement; or</w:t>
      </w:r>
    </w:p>
    <w:p>
      <w:pPr>
        <w:spacing w:after="0" w:line="199" w:lineRule="exact"/>
        <w:rPr>
          <w:rFonts w:ascii="Verdana" w:cs="Verdana" w:eastAsia="Verdana" w:hAnsi="Verdana"/>
          <w:sz w:val="18"/>
          <w:szCs w:val="18"/>
          <w:color w:val="auto"/>
        </w:rPr>
      </w:pPr>
    </w:p>
    <w:p>
      <w:pPr>
        <w:ind w:left="1940" w:hanging="636"/>
        <w:spacing w:after="0"/>
        <w:tabs>
          <w:tab w:leader="none" w:pos="1940" w:val="left"/>
        </w:tabs>
        <w:numPr>
          <w:ilvl w:val="1"/>
          <w:numId w:val="56"/>
        </w:numPr>
        <w:rPr>
          <w:rFonts w:ascii="Verdana" w:cs="Verdana" w:eastAsia="Verdana" w:hAnsi="Verdana"/>
          <w:sz w:val="18"/>
          <w:szCs w:val="18"/>
          <w:color w:val="auto"/>
        </w:rPr>
      </w:pPr>
      <w:r>
        <w:rPr>
          <w:rFonts w:ascii="Verdana" w:cs="Verdana" w:eastAsia="Verdana" w:hAnsi="Verdana"/>
          <w:sz w:val="18"/>
          <w:szCs w:val="18"/>
          <w:color w:val="auto"/>
        </w:rPr>
        <w:t>making a disclosure to any competent taxation authority; or</w:t>
      </w:r>
    </w:p>
    <w:p>
      <w:pPr>
        <w:spacing w:after="0" w:line="186" w:lineRule="exact"/>
        <w:rPr>
          <w:rFonts w:ascii="Verdana" w:cs="Verdana" w:eastAsia="Verdana" w:hAnsi="Verdana"/>
          <w:sz w:val="18"/>
          <w:szCs w:val="18"/>
          <w:color w:val="auto"/>
        </w:rPr>
      </w:pPr>
    </w:p>
    <w:p>
      <w:pPr>
        <w:ind w:left="1300" w:hanging="644"/>
        <w:spacing w:after="0"/>
        <w:tabs>
          <w:tab w:leader="none" w:pos="1300" w:val="left"/>
        </w:tabs>
        <w:numPr>
          <w:ilvl w:val="0"/>
          <w:numId w:val="56"/>
        </w:numPr>
        <w:rPr>
          <w:rFonts w:ascii="Verdana" w:cs="Verdana" w:eastAsia="Verdana" w:hAnsi="Verdana"/>
          <w:sz w:val="18"/>
          <w:szCs w:val="18"/>
          <w:color w:val="auto"/>
        </w:rPr>
      </w:pPr>
      <w:r>
        <w:rPr>
          <w:rFonts w:ascii="Verdana" w:cs="Verdana" w:eastAsia="Verdana" w:hAnsi="Verdana"/>
          <w:sz w:val="18"/>
          <w:szCs w:val="18"/>
          <w:color w:val="auto"/>
        </w:rPr>
        <w:t>the Employee from:</w:t>
      </w:r>
    </w:p>
    <w:p>
      <w:pPr>
        <w:spacing w:after="0" w:line="241" w:lineRule="exact"/>
        <w:rPr>
          <w:sz w:val="20"/>
          <w:szCs w:val="20"/>
          <w:color w:val="auto"/>
        </w:rPr>
      </w:pPr>
    </w:p>
    <w:p>
      <w:pPr>
        <w:ind w:left="180"/>
        <w:spacing w:after="0"/>
        <w:rPr>
          <w:sz w:val="20"/>
          <w:szCs w:val="20"/>
          <w:color w:val="auto"/>
        </w:rPr>
      </w:pPr>
      <w:r>
        <w:rPr>
          <w:rFonts w:ascii="Verdana" w:cs="Verdana" w:eastAsia="Verdana" w:hAnsi="Verdana"/>
          <w:sz w:val="13"/>
          <w:szCs w:val="13"/>
          <w:color w:val="auto"/>
        </w:rPr>
        <w:t>11ï2</w:t>
      </w:r>
    </w:p>
    <w:p>
      <w:pPr>
        <w:spacing w:after="0" w:line="112"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20" w:lineRule="exact"/>
        <w:rPr>
          <w:sz w:val="20"/>
          <w:szCs w:val="20"/>
          <w:color w:val="auto"/>
        </w:rPr>
      </w:pPr>
    </w:p>
    <w:p>
      <w:pPr>
        <w:ind w:left="1952" w:hanging="656"/>
        <w:spacing w:after="0" w:line="299" w:lineRule="auto"/>
        <w:tabs>
          <w:tab w:leader="none" w:pos="1949" w:val="left"/>
        </w:tabs>
        <w:numPr>
          <w:ilvl w:val="0"/>
          <w:numId w:val="57"/>
        </w:numPr>
        <w:rPr>
          <w:rFonts w:ascii="Verdana" w:cs="Verdana" w:eastAsia="Verdana" w:hAnsi="Verdana"/>
          <w:sz w:val="18"/>
          <w:szCs w:val="18"/>
          <w:color w:val="auto"/>
        </w:rPr>
      </w:pPr>
      <w:r>
        <w:rPr>
          <w:rFonts w:ascii="Verdana" w:cs="Verdana" w:eastAsia="Verdana" w:hAnsi="Verdana"/>
          <w:sz w:val="18"/>
          <w:szCs w:val="18"/>
          <w:color w:val="auto"/>
        </w:rPr>
        <w:t>making a disclosure to the Employee’s spouse or civil partner (provided that the spouse or civil partner agrees to keep the contents of such disclosure confidential); or</w:t>
      </w:r>
    </w:p>
    <w:p>
      <w:pPr>
        <w:spacing w:after="0" w:line="116" w:lineRule="exact"/>
        <w:rPr>
          <w:rFonts w:ascii="Verdana" w:cs="Verdana" w:eastAsia="Verdana" w:hAnsi="Verdana"/>
          <w:sz w:val="18"/>
          <w:szCs w:val="18"/>
          <w:color w:val="auto"/>
        </w:rPr>
      </w:pPr>
    </w:p>
    <w:p>
      <w:pPr>
        <w:ind w:left="1952" w:right="20" w:hanging="656"/>
        <w:spacing w:after="0" w:line="299" w:lineRule="auto"/>
        <w:tabs>
          <w:tab w:leader="none" w:pos="1944" w:val="left"/>
        </w:tabs>
        <w:numPr>
          <w:ilvl w:val="0"/>
          <w:numId w:val="57"/>
        </w:numPr>
        <w:rPr>
          <w:rFonts w:ascii="Verdana" w:cs="Verdana" w:eastAsia="Verdana" w:hAnsi="Verdana"/>
          <w:sz w:val="18"/>
          <w:szCs w:val="18"/>
          <w:color w:val="auto"/>
        </w:rPr>
      </w:pPr>
      <w:r>
        <w:rPr>
          <w:rFonts w:ascii="Verdana" w:cs="Verdana" w:eastAsia="Verdana" w:hAnsi="Verdana"/>
          <w:sz w:val="18"/>
          <w:szCs w:val="18"/>
          <w:color w:val="auto"/>
        </w:rPr>
        <w:t>making a disclosure which qualifies as a protected disclosure under section 43A of the Employment Rights Act 1996.</w:t>
      </w:r>
    </w:p>
    <w:p>
      <w:pPr>
        <w:spacing w:after="0" w:line="184" w:lineRule="exact"/>
        <w:rPr>
          <w:sz w:val="20"/>
          <w:szCs w:val="20"/>
          <w:color w:val="auto"/>
        </w:rPr>
      </w:pPr>
    </w:p>
    <w:p>
      <w:pPr>
        <w:ind w:left="652" w:hanging="652"/>
        <w:spacing w:after="0"/>
        <w:tabs>
          <w:tab w:leader="none" w:pos="652" w:val="left"/>
        </w:tabs>
        <w:numPr>
          <w:ilvl w:val="0"/>
          <w:numId w:val="58"/>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INVESTIGATION OR LITIGATION ASSISTANCE</w:t>
      </w:r>
    </w:p>
    <w:p>
      <w:pPr>
        <w:spacing w:after="0" w:line="186" w:lineRule="exact"/>
        <w:rPr>
          <w:sz w:val="20"/>
          <w:szCs w:val="20"/>
          <w:color w:val="auto"/>
        </w:rPr>
      </w:pPr>
    </w:p>
    <w:p>
      <w:pPr>
        <w:jc w:val="both"/>
        <w:ind w:left="632" w:hanging="647"/>
        <w:spacing w:after="0" w:line="282" w:lineRule="auto"/>
        <w:tabs>
          <w:tab w:leader="none" w:pos="612" w:val="left"/>
        </w:tabs>
        <w:rPr>
          <w:sz w:val="20"/>
          <w:szCs w:val="20"/>
          <w:color w:val="auto"/>
        </w:rPr>
      </w:pPr>
      <w:r>
        <w:rPr>
          <w:rFonts w:ascii="Verdana" w:cs="Verdana" w:eastAsia="Verdana" w:hAnsi="Verdana"/>
          <w:sz w:val="18"/>
          <w:szCs w:val="18"/>
          <w:color w:val="auto"/>
        </w:rPr>
        <w:t>15.1</w:t>
        <w:tab/>
        <w:t>The Employee agrees to assist and to fully cooperate with the Company and any Group Company in connection with any internal investigation or any investigation undertaken by any regulatory body, or dispute or claim of any kind involving the Company or any Group Company, including but not limited to any proceeding (civil, regulatory, or criminal) before any arbitral, administrative, judicial, legislative, regulatory or other body or agency such assistance and cooperation to include, but not be limited to:</w:t>
      </w:r>
    </w:p>
    <w:p>
      <w:pPr>
        <w:spacing w:after="0" w:line="146" w:lineRule="exact"/>
        <w:rPr>
          <w:sz w:val="20"/>
          <w:szCs w:val="20"/>
          <w:color w:val="auto"/>
        </w:rPr>
      </w:pPr>
    </w:p>
    <w:p>
      <w:pPr>
        <w:ind w:left="1292" w:right="20" w:hanging="644"/>
        <w:spacing w:after="0" w:line="284" w:lineRule="auto"/>
        <w:tabs>
          <w:tab w:leader="none" w:pos="1280" w:val="left"/>
        </w:tabs>
        <w:numPr>
          <w:ilvl w:val="0"/>
          <w:numId w:val="59"/>
        </w:numPr>
        <w:rPr>
          <w:rFonts w:ascii="Verdana" w:cs="Verdana" w:eastAsia="Verdana" w:hAnsi="Verdana"/>
          <w:sz w:val="18"/>
          <w:szCs w:val="18"/>
          <w:color w:val="auto"/>
        </w:rPr>
      </w:pPr>
      <w:r>
        <w:rPr>
          <w:rFonts w:ascii="Verdana" w:cs="Verdana" w:eastAsia="Verdana" w:hAnsi="Verdana"/>
          <w:sz w:val="18"/>
          <w:szCs w:val="18"/>
          <w:color w:val="auto"/>
        </w:rPr>
        <w:t>meeting with and providing information to the Company and any Group Company (and its or their legal advisers) and any regulatory body;</w:t>
      </w:r>
    </w:p>
    <w:p>
      <w:pPr>
        <w:spacing w:after="0" w:line="143" w:lineRule="exact"/>
        <w:rPr>
          <w:rFonts w:ascii="Verdana" w:cs="Verdana" w:eastAsia="Verdana" w:hAnsi="Verdana"/>
          <w:sz w:val="18"/>
          <w:szCs w:val="18"/>
          <w:color w:val="auto"/>
        </w:rPr>
      </w:pPr>
    </w:p>
    <w:p>
      <w:pPr>
        <w:ind w:left="1292" w:hanging="644"/>
        <w:spacing w:after="0"/>
        <w:tabs>
          <w:tab w:leader="none" w:pos="1292" w:val="left"/>
        </w:tabs>
        <w:numPr>
          <w:ilvl w:val="0"/>
          <w:numId w:val="59"/>
        </w:numPr>
        <w:rPr>
          <w:rFonts w:ascii="Verdana" w:cs="Verdana" w:eastAsia="Verdana" w:hAnsi="Verdana"/>
          <w:sz w:val="18"/>
          <w:szCs w:val="18"/>
          <w:color w:val="auto"/>
        </w:rPr>
      </w:pPr>
      <w:r>
        <w:rPr>
          <w:rFonts w:ascii="Verdana" w:cs="Verdana" w:eastAsia="Verdana" w:hAnsi="Verdana"/>
          <w:sz w:val="18"/>
          <w:szCs w:val="18"/>
          <w:color w:val="auto"/>
        </w:rPr>
        <w:t>co-operating in the preparation of witness statements;</w:t>
      </w:r>
    </w:p>
    <w:p>
      <w:pPr>
        <w:spacing w:after="0" w:line="199" w:lineRule="exact"/>
        <w:rPr>
          <w:rFonts w:ascii="Verdana" w:cs="Verdana" w:eastAsia="Verdana" w:hAnsi="Verdana"/>
          <w:sz w:val="18"/>
          <w:szCs w:val="18"/>
          <w:color w:val="auto"/>
        </w:rPr>
      </w:pPr>
    </w:p>
    <w:p>
      <w:pPr>
        <w:ind w:left="1292" w:hanging="644"/>
        <w:spacing w:after="0"/>
        <w:tabs>
          <w:tab w:leader="none" w:pos="1292" w:val="left"/>
        </w:tabs>
        <w:numPr>
          <w:ilvl w:val="0"/>
          <w:numId w:val="59"/>
        </w:numPr>
        <w:rPr>
          <w:rFonts w:ascii="Verdana" w:cs="Verdana" w:eastAsia="Verdana" w:hAnsi="Verdana"/>
          <w:sz w:val="18"/>
          <w:szCs w:val="18"/>
          <w:color w:val="auto"/>
        </w:rPr>
      </w:pPr>
      <w:r>
        <w:rPr>
          <w:rFonts w:ascii="Verdana" w:cs="Verdana" w:eastAsia="Verdana" w:hAnsi="Verdana"/>
          <w:sz w:val="18"/>
          <w:szCs w:val="18"/>
          <w:color w:val="auto"/>
        </w:rPr>
        <w:t>attending any relevant hearing to give evidence;</w:t>
      </w:r>
    </w:p>
    <w:p>
      <w:pPr>
        <w:spacing w:after="0" w:line="186" w:lineRule="exact"/>
        <w:rPr>
          <w:rFonts w:ascii="Verdana" w:cs="Verdana" w:eastAsia="Verdana" w:hAnsi="Verdana"/>
          <w:sz w:val="18"/>
          <w:szCs w:val="18"/>
          <w:color w:val="auto"/>
        </w:rPr>
      </w:pPr>
    </w:p>
    <w:p>
      <w:pPr>
        <w:ind w:left="1292" w:right="20" w:hanging="644"/>
        <w:spacing w:after="0" w:line="299" w:lineRule="auto"/>
        <w:tabs>
          <w:tab w:leader="none" w:pos="1284" w:val="left"/>
        </w:tabs>
        <w:numPr>
          <w:ilvl w:val="0"/>
          <w:numId w:val="59"/>
        </w:numPr>
        <w:rPr>
          <w:rFonts w:ascii="Verdana" w:cs="Verdana" w:eastAsia="Verdana" w:hAnsi="Verdana"/>
          <w:sz w:val="18"/>
          <w:szCs w:val="18"/>
          <w:color w:val="auto"/>
        </w:rPr>
      </w:pPr>
      <w:r>
        <w:rPr>
          <w:rFonts w:ascii="Verdana" w:cs="Verdana" w:eastAsia="Verdana" w:hAnsi="Verdana"/>
          <w:sz w:val="18"/>
          <w:szCs w:val="18"/>
          <w:color w:val="auto"/>
        </w:rPr>
        <w:t>performing all acts and executing and delivering any documents that may be reasonably necessary to comply with his obligations under this clause 14.</w:t>
      </w:r>
    </w:p>
    <w:p>
      <w:pPr>
        <w:spacing w:after="0" w:line="130" w:lineRule="exact"/>
        <w:rPr>
          <w:sz w:val="20"/>
          <w:szCs w:val="20"/>
          <w:color w:val="auto"/>
        </w:rPr>
      </w:pPr>
    </w:p>
    <w:p>
      <w:pPr>
        <w:jc w:val="both"/>
        <w:ind w:left="632" w:hanging="647"/>
        <w:spacing w:after="0" w:line="278" w:lineRule="auto"/>
        <w:tabs>
          <w:tab w:leader="none" w:pos="612" w:val="left"/>
        </w:tabs>
        <w:rPr>
          <w:sz w:val="20"/>
          <w:szCs w:val="20"/>
          <w:color w:val="auto"/>
        </w:rPr>
      </w:pPr>
      <w:r>
        <w:rPr>
          <w:rFonts w:ascii="Verdana" w:cs="Verdana" w:eastAsia="Verdana" w:hAnsi="Verdana"/>
          <w:sz w:val="18"/>
          <w:szCs w:val="18"/>
          <w:color w:val="auto"/>
        </w:rPr>
        <w:t>15.2</w:t>
        <w:tab/>
        <w:t>For any material time commitments, the Company shall pay the Employee a reasonable fee, which the parties agree is a fee of £2,500 plus any applicable VAT for each full day of assistance provided, subject to the production of a valid invoice and the relevant time commitment being agreed with the Company in advance. The Company will reimburse the Employee for all reasonable and properly documented expenses incurred in providing such assistance under this clause 14.</w:t>
      </w:r>
    </w:p>
    <w:p>
      <w:pPr>
        <w:spacing w:after="0" w:line="205" w:lineRule="exact"/>
        <w:rPr>
          <w:sz w:val="20"/>
          <w:szCs w:val="20"/>
          <w:color w:val="auto"/>
        </w:rPr>
      </w:pPr>
    </w:p>
    <w:p>
      <w:pPr>
        <w:ind w:left="652" w:hanging="652"/>
        <w:spacing w:after="0"/>
        <w:tabs>
          <w:tab w:leader="none" w:pos="652" w:val="left"/>
        </w:tabs>
        <w:numPr>
          <w:ilvl w:val="0"/>
          <w:numId w:val="60"/>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NO BREACH</w:t>
      </w:r>
    </w:p>
    <w:p>
      <w:pPr>
        <w:spacing w:after="0" w:line="186" w:lineRule="exact"/>
        <w:rPr>
          <w:sz w:val="20"/>
          <w:szCs w:val="20"/>
          <w:color w:val="auto"/>
        </w:rPr>
      </w:pPr>
    </w:p>
    <w:p>
      <w:pPr>
        <w:jc w:val="both"/>
        <w:ind w:left="632" w:hanging="647"/>
        <w:spacing w:after="0" w:line="282" w:lineRule="auto"/>
        <w:tabs>
          <w:tab w:leader="none" w:pos="612" w:val="left"/>
        </w:tabs>
        <w:rPr>
          <w:sz w:val="20"/>
          <w:szCs w:val="20"/>
          <w:color w:val="auto"/>
        </w:rPr>
      </w:pPr>
      <w:r>
        <w:rPr>
          <w:rFonts w:ascii="Verdana" w:cs="Verdana" w:eastAsia="Verdana" w:hAnsi="Verdana"/>
          <w:sz w:val="18"/>
          <w:szCs w:val="18"/>
          <w:color w:val="auto"/>
        </w:rPr>
        <w:t>16.1</w:t>
        <w:tab/>
        <w:t>The Employee represents and warrants that, as far as he is aware, he has not at any time during his employment committed any material breach of any express or implied term of the Service Agreement that would have given rise to a right of the Company to terminate the Employee’s employment summarily without compensation had the Company been aware of such breach.</w:t>
      </w:r>
    </w:p>
    <w:p>
      <w:pPr>
        <w:spacing w:after="0" w:line="146" w:lineRule="exact"/>
        <w:rPr>
          <w:sz w:val="20"/>
          <w:szCs w:val="20"/>
          <w:color w:val="auto"/>
        </w:rPr>
      </w:pPr>
    </w:p>
    <w:p>
      <w:pPr>
        <w:jc w:val="both"/>
        <w:ind w:left="632" w:hanging="647"/>
        <w:spacing w:after="0" w:line="282" w:lineRule="auto"/>
        <w:tabs>
          <w:tab w:leader="none" w:pos="612" w:val="left"/>
        </w:tabs>
        <w:rPr>
          <w:sz w:val="20"/>
          <w:szCs w:val="20"/>
          <w:color w:val="auto"/>
        </w:rPr>
      </w:pPr>
      <w:r>
        <w:rPr>
          <w:rFonts w:ascii="Verdana" w:cs="Verdana" w:eastAsia="Verdana" w:hAnsi="Verdana"/>
          <w:sz w:val="18"/>
          <w:szCs w:val="18"/>
          <w:color w:val="auto"/>
        </w:rPr>
        <w:t>16.2</w:t>
        <w:tab/>
        <w:t>The Company represents and warrants that as at the date of this Agreement, based on the facts of which the board of directors of Flutter Entertainment plc is aware, the Employee has not committed any acts that would give rise to a right of the Company to terminate the Employee’s employment summarily.</w:t>
      </w:r>
    </w:p>
    <w:p>
      <w:pPr>
        <w:spacing w:after="0" w:line="188" w:lineRule="exact"/>
        <w:rPr>
          <w:sz w:val="20"/>
          <w:szCs w:val="20"/>
          <w:color w:val="auto"/>
        </w:rPr>
      </w:pPr>
    </w:p>
    <w:p>
      <w:pPr>
        <w:ind w:left="172"/>
        <w:spacing w:after="0"/>
        <w:rPr>
          <w:sz w:val="20"/>
          <w:szCs w:val="20"/>
          <w:color w:val="auto"/>
        </w:rPr>
      </w:pPr>
      <w:r>
        <w:rPr>
          <w:rFonts w:ascii="Verdana" w:cs="Verdana" w:eastAsia="Verdana" w:hAnsi="Verdana"/>
          <w:sz w:val="13"/>
          <w:szCs w:val="13"/>
          <w:color w:val="auto"/>
        </w:rPr>
        <w:t>12ï2</w:t>
      </w:r>
    </w:p>
    <w:p>
      <w:pPr>
        <w:spacing w:after="0" w:line="112" w:lineRule="exact"/>
        <w:rPr>
          <w:sz w:val="20"/>
          <w:szCs w:val="20"/>
          <w:color w:val="auto"/>
        </w:rPr>
      </w:pPr>
    </w:p>
    <w:p>
      <w:pPr>
        <w:ind w:left="12"/>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32"/>
          </w:cols>
          <w:pgMar w:left="328" w:top="1440" w:right="339" w:bottom="1440" w:gutter="0" w:footer="0" w:header="0"/>
        </w:sectPr>
      </w:pPr>
    </w:p>
    <w:bookmarkStart w:id="80" w:name="page81"/>
    <w:bookmarkEnd w:id="80"/>
    <w:p>
      <w:pPr>
        <w:spacing w:after="0" w:line="220" w:lineRule="exact"/>
        <w:rPr>
          <w:sz w:val="20"/>
          <w:szCs w:val="20"/>
          <w:color w:val="auto"/>
        </w:rPr>
      </w:pPr>
    </w:p>
    <w:p>
      <w:pPr>
        <w:ind w:left="652" w:hanging="652"/>
        <w:spacing w:after="0"/>
        <w:tabs>
          <w:tab w:leader="none" w:pos="652" w:val="left"/>
        </w:tabs>
        <w:numPr>
          <w:ilvl w:val="0"/>
          <w:numId w:val="61"/>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TAX</w:t>
      </w:r>
    </w:p>
    <w:p>
      <w:pPr>
        <w:spacing w:after="0" w:line="200" w:lineRule="exact"/>
        <w:rPr>
          <w:sz w:val="20"/>
          <w:szCs w:val="20"/>
          <w:color w:val="auto"/>
        </w:rPr>
      </w:pPr>
    </w:p>
    <w:p>
      <w:pPr>
        <w:jc w:val="both"/>
        <w:ind w:left="632" w:hanging="647"/>
        <w:spacing w:after="0" w:line="277" w:lineRule="auto"/>
        <w:tabs>
          <w:tab w:leader="none" w:pos="612" w:val="left"/>
        </w:tabs>
        <w:rPr>
          <w:sz w:val="20"/>
          <w:szCs w:val="20"/>
          <w:color w:val="auto"/>
        </w:rPr>
      </w:pPr>
      <w:r>
        <w:rPr>
          <w:rFonts w:ascii="Verdana" w:cs="Verdana" w:eastAsia="Verdana" w:hAnsi="Verdana"/>
          <w:sz w:val="18"/>
          <w:szCs w:val="18"/>
          <w:color w:val="auto"/>
        </w:rPr>
        <w:t>17.1</w:t>
        <w:tab/>
        <w:t>Save for deductions made by the Company, the Employee accepts that he will be responsible for the payment of any income tax and employee’s social security contributions (including, without limitation, any interest, penalties or fines arising from any non-payment) imposed by any competent taxation authority by reason of the Employee’s receipt of or entitlement to the payment and benefits referred to in this Agreement and the Employee agrees to indemnify the Company and any Group Company on a continuing basis against any income tax and employee’s social security contributions (including, without limitation, any interest, penalties or fines) imposed by any competent taxation authority by reason of the Employee’s receipt of or entitlement to any such payments or benefits. For the avoidance of doubt, the Employee’s obligation to indemnify the Company and any Group Company in respect of any interest, penalties or fines shall not apply where such interest, penalties or fines arise from a failure by the Company or any other Group Company to pay to a competent tax authority amounts deducted from payments made to the Employee under the terms of this Agreement.</w:t>
      </w:r>
    </w:p>
    <w:p>
      <w:pPr>
        <w:spacing w:after="0" w:line="152" w:lineRule="exact"/>
        <w:rPr>
          <w:sz w:val="20"/>
          <w:szCs w:val="20"/>
          <w:color w:val="auto"/>
        </w:rPr>
      </w:pPr>
    </w:p>
    <w:p>
      <w:pPr>
        <w:jc w:val="both"/>
        <w:ind w:left="632" w:hanging="647"/>
        <w:spacing w:after="0" w:line="279" w:lineRule="auto"/>
        <w:tabs>
          <w:tab w:leader="none" w:pos="612" w:val="left"/>
        </w:tabs>
        <w:rPr>
          <w:sz w:val="20"/>
          <w:szCs w:val="20"/>
          <w:color w:val="auto"/>
        </w:rPr>
      </w:pPr>
      <w:r>
        <w:rPr>
          <w:rFonts w:ascii="Verdana" w:cs="Verdana" w:eastAsia="Verdana" w:hAnsi="Verdana"/>
          <w:sz w:val="18"/>
          <w:szCs w:val="18"/>
          <w:color w:val="auto"/>
        </w:rPr>
        <w:t>17.2</w:t>
        <w:tab/>
        <w:t xml:space="preserve">The intent of the parties is that the payments and benefits under this Agreement comply with or be exempt from Section 409A of the United States Internal Revenue Code of 1986, as amended (the </w:t>
      </w:r>
      <w:r>
        <w:rPr>
          <w:rFonts w:ascii="Verdana" w:cs="Verdana" w:eastAsia="Verdana" w:hAnsi="Verdana"/>
          <w:sz w:val="18"/>
          <w:szCs w:val="18"/>
          <w:b w:val="1"/>
          <w:bCs w:val="1"/>
          <w:i w:val="1"/>
          <w:iCs w:val="1"/>
          <w:color w:val="auto"/>
        </w:rPr>
        <w:t>Code</w:t>
      </w:r>
      <w:r>
        <w:rPr>
          <w:rFonts w:ascii="Verdana" w:cs="Verdana" w:eastAsia="Verdana" w:hAnsi="Verdana"/>
          <w:sz w:val="18"/>
          <w:szCs w:val="18"/>
          <w:color w:val="auto"/>
        </w:rPr>
        <w:t xml:space="preserve">) (Section 409A of the Code, and the regulations and guidance promulgated thereunder, </w:t>
      </w:r>
      <w:r>
        <w:rPr>
          <w:rFonts w:ascii="Verdana" w:cs="Verdana" w:eastAsia="Verdana" w:hAnsi="Verdana"/>
          <w:sz w:val="18"/>
          <w:szCs w:val="18"/>
          <w:b w:val="1"/>
          <w:bCs w:val="1"/>
          <w:i w:val="1"/>
          <w:iCs w:val="1"/>
          <w:color w:val="auto"/>
        </w:rPr>
        <w:t>Section 409A</w:t>
      </w:r>
      <w:r>
        <w:rPr>
          <w:rFonts w:ascii="Verdana" w:cs="Verdana" w:eastAsia="Verdana" w:hAnsi="Verdana"/>
          <w:sz w:val="18"/>
          <w:szCs w:val="18"/>
          <w:color w:val="auto"/>
        </w:rPr>
        <w:t>) and, accordingly, to the maximum extent permitted, this Agreement shall be interpreted to be in compliance therewith. Except as otherwise permitted under Section 409A, no payment under this Agreement shall be accelerated or deferred unless such acceleration or deferral would not result in additional tax or interest pursuant to Section 409A.</w:t>
      </w:r>
    </w:p>
    <w:p>
      <w:pPr>
        <w:spacing w:after="0" w:line="148" w:lineRule="exact"/>
        <w:rPr>
          <w:sz w:val="20"/>
          <w:szCs w:val="20"/>
          <w:color w:val="auto"/>
        </w:rPr>
      </w:pPr>
    </w:p>
    <w:p>
      <w:pPr>
        <w:jc w:val="both"/>
        <w:ind w:left="632" w:hanging="647"/>
        <w:spacing w:after="0" w:line="282" w:lineRule="auto"/>
        <w:tabs>
          <w:tab w:leader="none" w:pos="612" w:val="left"/>
        </w:tabs>
        <w:rPr>
          <w:sz w:val="20"/>
          <w:szCs w:val="20"/>
          <w:color w:val="auto"/>
        </w:rPr>
      </w:pPr>
      <w:r>
        <w:rPr>
          <w:rFonts w:ascii="Verdana" w:cs="Verdana" w:eastAsia="Verdana" w:hAnsi="Verdana"/>
          <w:sz w:val="18"/>
          <w:szCs w:val="18"/>
          <w:color w:val="auto"/>
        </w:rPr>
        <w:t>17.3</w:t>
        <w:tab/>
        <w:t xml:space="preserve">Notwithstanding anything in this Agreement or the Service Agreement to the contrary, any compensation or benefit payable under this Agreement that is considered nonqualified deferred compensation under Section 409A and is designated as payable upon the Employee’s termination of employment shall be payable only upon his “separation from service” with the Company within the meaning of Section 409A (a </w:t>
      </w:r>
      <w:r>
        <w:rPr>
          <w:rFonts w:ascii="Verdana" w:cs="Verdana" w:eastAsia="Verdana" w:hAnsi="Verdana"/>
          <w:sz w:val="18"/>
          <w:szCs w:val="18"/>
          <w:b w:val="1"/>
          <w:bCs w:val="1"/>
          <w:i w:val="1"/>
          <w:iCs w:val="1"/>
          <w:color w:val="auto"/>
        </w:rPr>
        <w:t>Separation from Service</w:t>
      </w:r>
      <w:r>
        <w:rPr>
          <w:rFonts w:ascii="Verdana" w:cs="Verdana" w:eastAsia="Verdana" w:hAnsi="Verdana"/>
          <w:sz w:val="18"/>
          <w:szCs w:val="18"/>
          <w:color w:val="auto"/>
        </w:rPr>
        <w:t>).</w:t>
      </w:r>
    </w:p>
    <w:p>
      <w:pPr>
        <w:spacing w:after="0" w:line="133" w:lineRule="exact"/>
        <w:rPr>
          <w:sz w:val="20"/>
          <w:szCs w:val="20"/>
          <w:color w:val="auto"/>
        </w:rPr>
      </w:pPr>
    </w:p>
    <w:p>
      <w:pPr>
        <w:jc w:val="both"/>
        <w:ind w:left="632" w:hanging="647"/>
        <w:spacing w:after="0" w:line="279" w:lineRule="auto"/>
        <w:tabs>
          <w:tab w:leader="none" w:pos="612" w:val="left"/>
        </w:tabs>
        <w:rPr>
          <w:sz w:val="20"/>
          <w:szCs w:val="20"/>
          <w:color w:val="auto"/>
        </w:rPr>
      </w:pPr>
      <w:r>
        <w:rPr>
          <w:rFonts w:ascii="Verdana" w:cs="Verdana" w:eastAsia="Verdana" w:hAnsi="Verdana"/>
          <w:sz w:val="18"/>
          <w:szCs w:val="18"/>
          <w:color w:val="auto"/>
        </w:rPr>
        <w:t>17.4</w:t>
        <w:tab/>
        <w:t>If the Employee is deemed by the Company at the time of his Separation from Service to be a “specified employee” for purposes of Section 409A, to the extent delayed commencement of any portion of the benefits to which his is entitled under this Agreement is required in order to avoid a prohibited distribution under Section 409A, such portion of his benefits shall not be provided to him prior to the earlier of (A) the expiration of the six (6)-month period measured from the date of the Employee’s Separation from Service with the Company or (B) the date of his death. Upon the first business day following the expiration of the applicable Section 409A period, all payments deferred pursuant to the preceding sentence shall be paid in a lump sum to the Employee (or his estate or beneficiaries), and any remaining payments due to him under this Agreement shall be paid as otherwise provided therein.</w:t>
      </w:r>
    </w:p>
    <w:p>
      <w:pPr>
        <w:spacing w:after="0" w:line="182" w:lineRule="exact"/>
        <w:rPr>
          <w:sz w:val="20"/>
          <w:szCs w:val="20"/>
          <w:color w:val="auto"/>
        </w:rPr>
      </w:pPr>
    </w:p>
    <w:p>
      <w:pPr>
        <w:ind w:left="172"/>
        <w:spacing w:after="0"/>
        <w:rPr>
          <w:sz w:val="20"/>
          <w:szCs w:val="20"/>
          <w:color w:val="auto"/>
        </w:rPr>
      </w:pPr>
      <w:r>
        <w:rPr>
          <w:rFonts w:ascii="Verdana" w:cs="Verdana" w:eastAsia="Verdana" w:hAnsi="Verdana"/>
          <w:sz w:val="13"/>
          <w:szCs w:val="13"/>
          <w:color w:val="auto"/>
        </w:rPr>
        <w:t>13ï2</w:t>
      </w:r>
    </w:p>
    <w:p>
      <w:pPr>
        <w:spacing w:after="0" w:line="126" w:lineRule="exact"/>
        <w:rPr>
          <w:sz w:val="20"/>
          <w:szCs w:val="20"/>
          <w:color w:val="auto"/>
        </w:rPr>
      </w:pPr>
    </w:p>
    <w:p>
      <w:pPr>
        <w:ind w:left="12"/>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32"/>
          </w:cols>
          <w:pgMar w:left="328" w:top="1440" w:right="339" w:bottom="1440" w:gutter="0" w:footer="0" w:header="0"/>
        </w:sectPr>
      </w:pPr>
    </w:p>
    <w:bookmarkStart w:id="81" w:name="page82"/>
    <w:bookmarkEnd w:id="81"/>
    <w:p>
      <w:pPr>
        <w:spacing w:after="0" w:line="220" w:lineRule="exact"/>
        <w:rPr>
          <w:sz w:val="20"/>
          <w:szCs w:val="20"/>
          <w:color w:val="auto"/>
        </w:rPr>
      </w:pPr>
    </w:p>
    <w:p>
      <w:pPr>
        <w:ind w:left="660" w:hanging="652"/>
        <w:spacing w:after="0"/>
        <w:tabs>
          <w:tab w:leader="none" w:pos="660" w:val="left"/>
        </w:tabs>
        <w:numPr>
          <w:ilvl w:val="0"/>
          <w:numId w:val="62"/>
        </w:numPr>
        <w:rPr>
          <w:rFonts w:ascii="Verdana" w:cs="Verdana" w:eastAsia="Verdana" w:hAnsi="Verdana"/>
          <w:sz w:val="18"/>
          <w:szCs w:val="18"/>
          <w:b w:val="1"/>
          <w:bCs w:val="1"/>
          <w:color w:val="auto"/>
        </w:rPr>
      </w:pPr>
      <w:r>
        <w:rPr>
          <w:rFonts w:ascii="Verdana" w:cs="Verdana" w:eastAsia="Verdana" w:hAnsi="Verdana"/>
          <w:sz w:val="18"/>
          <w:szCs w:val="18"/>
          <w:b w:val="1"/>
          <w:bCs w:val="1"/>
          <w:color w:val="auto"/>
        </w:rPr>
        <w:t>MISCELLANEOUS</w:t>
      </w:r>
    </w:p>
    <w:p>
      <w:pPr>
        <w:spacing w:after="0" w:line="200"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8"/>
          <w:szCs w:val="18"/>
          <w:color w:val="auto"/>
        </w:rPr>
        <w:t>18.1</w:t>
        <w:tab/>
        <w:t>A person who is not a party to this Agreement shall have no right under the Contracts (Rights of Third Parties) Act</w:t>
      </w:r>
    </w:p>
    <w:p>
      <w:pPr>
        <w:spacing w:after="0" w:line="24" w:lineRule="exact"/>
        <w:rPr>
          <w:sz w:val="20"/>
          <w:szCs w:val="20"/>
          <w:color w:val="auto"/>
        </w:rPr>
      </w:pPr>
    </w:p>
    <w:p>
      <w:pPr>
        <w:ind w:left="660"/>
        <w:spacing w:after="0"/>
        <w:rPr>
          <w:sz w:val="20"/>
          <w:szCs w:val="20"/>
          <w:color w:val="auto"/>
        </w:rPr>
      </w:pPr>
      <w:r>
        <w:rPr>
          <w:rFonts w:ascii="Verdana" w:cs="Verdana" w:eastAsia="Verdana" w:hAnsi="Verdana"/>
          <w:sz w:val="18"/>
          <w:szCs w:val="18"/>
          <w:color w:val="auto"/>
        </w:rPr>
        <w:t>1999 to enforce any of its terms.</w:t>
      </w:r>
    </w:p>
    <w:p>
      <w:pPr>
        <w:spacing w:after="0" w:line="200" w:lineRule="exact"/>
        <w:rPr>
          <w:sz w:val="20"/>
          <w:szCs w:val="20"/>
          <w:color w:val="auto"/>
        </w:rPr>
      </w:pPr>
    </w:p>
    <w:p>
      <w:pPr>
        <w:jc w:val="both"/>
        <w:ind w:left="640" w:hanging="647"/>
        <w:spacing w:after="0" w:line="282" w:lineRule="auto"/>
        <w:tabs>
          <w:tab w:leader="none" w:pos="620" w:val="left"/>
        </w:tabs>
        <w:rPr>
          <w:sz w:val="20"/>
          <w:szCs w:val="20"/>
          <w:color w:val="auto"/>
        </w:rPr>
      </w:pPr>
      <w:r>
        <w:rPr>
          <w:rFonts w:ascii="Verdana" w:cs="Verdana" w:eastAsia="Verdana" w:hAnsi="Verdana"/>
          <w:sz w:val="18"/>
          <w:szCs w:val="18"/>
          <w:color w:val="auto"/>
        </w:rPr>
        <w:t>18.2</w:t>
        <w:tab/>
        <w:t>This agreement constitutes the entire agreement and understanding between the parties and supersedes all other agreements, both oral and in writing, between the Company, any Group Company and the Employee (other than the provisions of the Service Agreement specifically referred to).</w:t>
      </w:r>
    </w:p>
    <w:p>
      <w:pPr>
        <w:spacing w:after="0" w:line="147" w:lineRule="exact"/>
        <w:rPr>
          <w:sz w:val="20"/>
          <w:szCs w:val="20"/>
          <w:color w:val="auto"/>
        </w:rPr>
      </w:pPr>
    </w:p>
    <w:p>
      <w:pPr>
        <w:jc w:val="both"/>
        <w:ind w:left="640" w:hanging="647"/>
        <w:spacing w:after="0" w:line="299" w:lineRule="auto"/>
        <w:tabs>
          <w:tab w:leader="none" w:pos="620" w:val="left"/>
        </w:tabs>
        <w:rPr>
          <w:sz w:val="20"/>
          <w:szCs w:val="20"/>
          <w:color w:val="auto"/>
        </w:rPr>
      </w:pPr>
      <w:r>
        <w:rPr>
          <w:rFonts w:ascii="Verdana" w:cs="Verdana" w:eastAsia="Verdana" w:hAnsi="Verdana"/>
          <w:sz w:val="18"/>
          <w:szCs w:val="18"/>
          <w:color w:val="auto"/>
        </w:rPr>
        <w:t>18.3</w:t>
        <w:tab/>
        <w:t>If any part of this Agreement is found to be void, the parties agree that such part or parts should be deleted as are necessary to make the agreement valid and effective.</w:t>
      </w:r>
    </w:p>
    <w:p>
      <w:pPr>
        <w:spacing w:after="0" w:line="11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8"/>
          <w:szCs w:val="18"/>
          <w:color w:val="auto"/>
        </w:rPr>
        <w:t>18.4</w:t>
      </w:r>
      <w:r>
        <w:rPr>
          <w:sz w:val="20"/>
          <w:szCs w:val="20"/>
          <w:color w:val="auto"/>
        </w:rPr>
        <w:tab/>
      </w:r>
      <w:r>
        <w:rPr>
          <w:rFonts w:ascii="Verdana" w:cs="Verdana" w:eastAsia="Verdana" w:hAnsi="Verdana"/>
          <w:sz w:val="17"/>
          <w:szCs w:val="17"/>
          <w:color w:val="auto"/>
        </w:rPr>
        <w:t>The headings in this Agreement are used for convenience only and shall not affect its construction.</w:t>
      </w:r>
    </w:p>
    <w:p>
      <w:pPr>
        <w:spacing w:after="0" w:line="200" w:lineRule="exact"/>
        <w:rPr>
          <w:sz w:val="20"/>
          <w:szCs w:val="20"/>
          <w:color w:val="auto"/>
        </w:rPr>
      </w:pPr>
    </w:p>
    <w:p>
      <w:pPr>
        <w:jc w:val="both"/>
        <w:ind w:left="640" w:right="20" w:hanging="647"/>
        <w:spacing w:after="0" w:line="299" w:lineRule="auto"/>
        <w:tabs>
          <w:tab w:leader="none" w:pos="620" w:val="left"/>
        </w:tabs>
        <w:rPr>
          <w:sz w:val="20"/>
          <w:szCs w:val="20"/>
          <w:color w:val="auto"/>
        </w:rPr>
      </w:pPr>
      <w:r>
        <w:rPr>
          <w:rFonts w:ascii="Verdana" w:cs="Verdana" w:eastAsia="Verdana" w:hAnsi="Verdana"/>
          <w:sz w:val="18"/>
          <w:szCs w:val="18"/>
          <w:color w:val="auto"/>
        </w:rPr>
        <w:t>18.5</w:t>
        <w:tab/>
        <w:t>This Agreement may be executed in any number of counterparts, and by each party on separate counterparts. Each counterpart is an original, but all counterparts shall together constitute one and the same instrument.</w:t>
      </w:r>
    </w:p>
    <w:p>
      <w:pPr>
        <w:spacing w:after="0" w:line="116"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8"/>
          <w:szCs w:val="18"/>
          <w:color w:val="auto"/>
        </w:rPr>
        <w:t>18.6</w:t>
        <w:tab/>
        <w:t>This Agreement has been entered into on the date stated at the beginning of it.</w:t>
      </w:r>
    </w:p>
    <w:p>
      <w:pPr>
        <w:spacing w:after="0" w:line="200" w:lineRule="exact"/>
        <w:rPr>
          <w:sz w:val="20"/>
          <w:szCs w:val="20"/>
          <w:color w:val="auto"/>
        </w:rPr>
      </w:pPr>
    </w:p>
    <w:p>
      <w:pPr>
        <w:jc w:val="both"/>
        <w:ind w:left="640" w:right="20" w:hanging="647"/>
        <w:spacing w:after="0" w:line="299" w:lineRule="auto"/>
        <w:tabs>
          <w:tab w:leader="none" w:pos="620" w:val="left"/>
        </w:tabs>
        <w:rPr>
          <w:sz w:val="20"/>
          <w:szCs w:val="20"/>
          <w:color w:val="auto"/>
        </w:rPr>
      </w:pPr>
      <w:r>
        <w:rPr>
          <w:rFonts w:ascii="Verdana" w:cs="Verdana" w:eastAsia="Verdana" w:hAnsi="Verdana"/>
          <w:sz w:val="18"/>
          <w:szCs w:val="18"/>
          <w:color w:val="auto"/>
        </w:rPr>
        <w:t>18.7</w:t>
        <w:tab/>
        <w:t>The terms of this Agreement will cease to be ‘without prejudice’ and ‘subject to contract’ on execution by both parties.</w:t>
      </w:r>
    </w:p>
    <w:p>
      <w:pPr>
        <w:spacing w:after="0" w:line="116"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Verdana" w:cs="Verdana" w:eastAsia="Verdana" w:hAnsi="Verdana"/>
          <w:sz w:val="18"/>
          <w:szCs w:val="18"/>
          <w:color w:val="auto"/>
        </w:rPr>
        <w:t>18.8</w:t>
        <w:tab/>
        <w:t>Any notice to be given by one party to the other party in connection with this Agreement shall be in writing in English and signed by or on behalf of the party giving it. It shall be delivered by hand, email, registered post or courier using an internationally recognised courier company.</w:t>
      </w:r>
    </w:p>
    <w:p>
      <w:pPr>
        <w:spacing w:after="0" w:line="125" w:lineRule="exact"/>
        <w:rPr>
          <w:sz w:val="20"/>
          <w:szCs w:val="20"/>
          <w:color w:val="auto"/>
        </w:rPr>
      </w:pPr>
    </w:p>
    <w:p>
      <w:pPr>
        <w:spacing w:after="0"/>
        <w:tabs>
          <w:tab w:leader="none" w:pos="620" w:val="left"/>
        </w:tabs>
        <w:rPr>
          <w:sz w:val="20"/>
          <w:szCs w:val="20"/>
          <w:color w:val="auto"/>
        </w:rPr>
      </w:pPr>
      <w:r>
        <w:rPr>
          <w:rFonts w:ascii="Verdana" w:cs="Verdana" w:eastAsia="Verdana" w:hAnsi="Verdana"/>
          <w:sz w:val="18"/>
          <w:szCs w:val="18"/>
          <w:color w:val="auto"/>
        </w:rPr>
        <w:t>18.9</w:t>
      </w:r>
      <w:r>
        <w:rPr>
          <w:sz w:val="20"/>
          <w:szCs w:val="20"/>
          <w:color w:val="auto"/>
        </w:rPr>
        <w:tab/>
      </w:r>
      <w:r>
        <w:rPr>
          <w:rFonts w:ascii="Verdana" w:cs="Verdana" w:eastAsia="Verdana" w:hAnsi="Verdana"/>
          <w:sz w:val="17"/>
          <w:szCs w:val="17"/>
          <w:color w:val="auto"/>
        </w:rPr>
        <w:t>Subject to clause 17.10, a notice shall be effective upon receipt and shall be deemed to have been received:</w:t>
      </w:r>
    </w:p>
    <w:p>
      <w:pPr>
        <w:spacing w:after="0" w:line="200" w:lineRule="exact"/>
        <w:rPr>
          <w:sz w:val="20"/>
          <w:szCs w:val="20"/>
          <w:color w:val="auto"/>
        </w:rPr>
      </w:pPr>
    </w:p>
    <w:p>
      <w:pPr>
        <w:ind w:left="1300" w:hanging="644"/>
        <w:spacing w:after="0"/>
        <w:tabs>
          <w:tab w:leader="none" w:pos="1300" w:val="left"/>
        </w:tabs>
        <w:numPr>
          <w:ilvl w:val="0"/>
          <w:numId w:val="63"/>
        </w:numPr>
        <w:rPr>
          <w:rFonts w:ascii="Verdana" w:cs="Verdana" w:eastAsia="Verdana" w:hAnsi="Verdana"/>
          <w:sz w:val="18"/>
          <w:szCs w:val="18"/>
          <w:color w:val="auto"/>
        </w:rPr>
      </w:pPr>
      <w:r>
        <w:rPr>
          <w:rFonts w:ascii="Verdana" w:cs="Verdana" w:eastAsia="Verdana" w:hAnsi="Verdana"/>
          <w:sz w:val="18"/>
          <w:szCs w:val="18"/>
          <w:color w:val="auto"/>
        </w:rPr>
        <w:t>at the time of delivery, if delivered by hand, registered post or courier; or</w:t>
      </w:r>
    </w:p>
    <w:p>
      <w:pPr>
        <w:spacing w:after="0" w:line="186" w:lineRule="exact"/>
        <w:rPr>
          <w:rFonts w:ascii="Verdana" w:cs="Verdana" w:eastAsia="Verdana" w:hAnsi="Verdana"/>
          <w:sz w:val="18"/>
          <w:szCs w:val="18"/>
          <w:color w:val="auto"/>
        </w:rPr>
      </w:pPr>
    </w:p>
    <w:p>
      <w:pPr>
        <w:ind w:left="1300" w:hanging="644"/>
        <w:spacing w:after="0"/>
        <w:tabs>
          <w:tab w:leader="none" w:pos="1300" w:val="left"/>
        </w:tabs>
        <w:numPr>
          <w:ilvl w:val="0"/>
          <w:numId w:val="63"/>
        </w:numPr>
        <w:rPr>
          <w:rFonts w:ascii="Verdana" w:cs="Verdana" w:eastAsia="Verdana" w:hAnsi="Verdana"/>
          <w:sz w:val="18"/>
          <w:szCs w:val="18"/>
          <w:color w:val="auto"/>
        </w:rPr>
      </w:pPr>
      <w:r>
        <w:rPr>
          <w:rFonts w:ascii="Verdana" w:cs="Verdana" w:eastAsia="Verdana" w:hAnsi="Verdana"/>
          <w:sz w:val="18"/>
          <w:szCs w:val="18"/>
          <w:color w:val="auto"/>
        </w:rPr>
        <w:t>at the time it is sent if sent by email, in which case:</w:t>
      </w:r>
    </w:p>
    <w:p>
      <w:pPr>
        <w:spacing w:after="0" w:line="199" w:lineRule="exact"/>
        <w:rPr>
          <w:rFonts w:ascii="Verdana" w:cs="Verdana" w:eastAsia="Verdana" w:hAnsi="Verdana"/>
          <w:sz w:val="18"/>
          <w:szCs w:val="18"/>
          <w:color w:val="auto"/>
        </w:rPr>
      </w:pPr>
    </w:p>
    <w:p>
      <w:pPr>
        <w:ind w:left="1960" w:right="20" w:hanging="656"/>
        <w:spacing w:after="0" w:line="299" w:lineRule="auto"/>
        <w:tabs>
          <w:tab w:leader="none" w:pos="1957" w:val="left"/>
        </w:tabs>
        <w:numPr>
          <w:ilvl w:val="1"/>
          <w:numId w:val="63"/>
        </w:numPr>
        <w:rPr>
          <w:rFonts w:ascii="Verdana" w:cs="Verdana" w:eastAsia="Verdana" w:hAnsi="Verdana"/>
          <w:sz w:val="18"/>
          <w:szCs w:val="18"/>
          <w:color w:val="auto"/>
        </w:rPr>
      </w:pPr>
      <w:r>
        <w:rPr>
          <w:rFonts w:ascii="Verdana" w:cs="Verdana" w:eastAsia="Verdana" w:hAnsi="Verdana"/>
          <w:sz w:val="18"/>
          <w:szCs w:val="18"/>
          <w:color w:val="auto"/>
        </w:rPr>
        <w:t>except as provided in (ii), the time at which an email is sent shall be the time in the place where the recipient’s registered office is located; and</w:t>
      </w:r>
    </w:p>
    <w:p>
      <w:pPr>
        <w:spacing w:after="0" w:line="116" w:lineRule="exact"/>
        <w:rPr>
          <w:rFonts w:ascii="Verdana" w:cs="Verdana" w:eastAsia="Verdana" w:hAnsi="Verdana"/>
          <w:sz w:val="18"/>
          <w:szCs w:val="18"/>
          <w:color w:val="auto"/>
        </w:rPr>
      </w:pPr>
    </w:p>
    <w:p>
      <w:pPr>
        <w:jc w:val="both"/>
        <w:ind w:left="1960" w:hanging="656"/>
        <w:spacing w:after="0" w:line="281" w:lineRule="auto"/>
        <w:tabs>
          <w:tab w:leader="none" w:pos="1952" w:val="left"/>
        </w:tabs>
        <w:numPr>
          <w:ilvl w:val="1"/>
          <w:numId w:val="63"/>
        </w:numPr>
        <w:rPr>
          <w:rFonts w:ascii="Verdana" w:cs="Verdana" w:eastAsia="Verdana" w:hAnsi="Verdana"/>
          <w:sz w:val="18"/>
          <w:szCs w:val="18"/>
          <w:color w:val="auto"/>
        </w:rPr>
      </w:pPr>
      <w:r>
        <w:rPr>
          <w:rFonts w:ascii="Verdana" w:cs="Verdana" w:eastAsia="Verdana" w:hAnsi="Verdana"/>
          <w:sz w:val="18"/>
          <w:szCs w:val="18"/>
          <w:color w:val="auto"/>
        </w:rPr>
        <w:t>if an email delivery failure notice is received in the sender’s email account within 15 minutes of the sender trying to send it, the notice shall be deemed to have been received at the time the sender</w:t>
      </w:r>
    </w:p>
    <w:p>
      <w:pPr>
        <w:ind w:left="1960"/>
        <w:spacing w:after="0" w:line="284" w:lineRule="auto"/>
        <w:rPr>
          <w:rFonts w:ascii="Verdana" w:cs="Verdana" w:eastAsia="Verdana" w:hAnsi="Verdana"/>
          <w:sz w:val="18"/>
          <w:szCs w:val="18"/>
          <w:color w:val="auto"/>
        </w:rPr>
      </w:pPr>
      <w:r>
        <w:rPr>
          <w:rFonts w:ascii="Verdana" w:cs="Verdana" w:eastAsia="Verdana" w:hAnsi="Verdana"/>
          <w:sz w:val="18"/>
          <w:szCs w:val="18"/>
          <w:color w:val="auto"/>
        </w:rPr>
        <w:t>tried to send it, if the sender also sends the notice to the recipient by hand, registered post or courier within 48 hours of receipt of the email delivery failure notice.</w:t>
      </w:r>
    </w:p>
    <w:p>
      <w:pPr>
        <w:spacing w:after="0" w:line="144" w:lineRule="exact"/>
        <w:rPr>
          <w:sz w:val="20"/>
          <w:szCs w:val="20"/>
          <w:color w:val="auto"/>
        </w:rPr>
      </w:pPr>
    </w:p>
    <w:p>
      <w:pPr>
        <w:spacing w:after="0"/>
        <w:rPr>
          <w:sz w:val="20"/>
          <w:szCs w:val="20"/>
          <w:color w:val="auto"/>
        </w:rPr>
      </w:pPr>
      <w:r>
        <w:rPr>
          <w:rFonts w:ascii="Verdana" w:cs="Verdana" w:eastAsia="Verdana" w:hAnsi="Verdana"/>
          <w:sz w:val="18"/>
          <w:szCs w:val="18"/>
          <w:color w:val="auto"/>
        </w:rPr>
        <w:t>18.10 If a notice is deemed received outside Business Hours, the notice shall be deemed to have been received when</w:t>
      </w:r>
    </w:p>
    <w:p>
      <w:pPr>
        <w:spacing w:after="0" w:line="38" w:lineRule="exact"/>
        <w:rPr>
          <w:sz w:val="20"/>
          <w:szCs w:val="20"/>
          <w:color w:val="auto"/>
        </w:rPr>
      </w:pPr>
    </w:p>
    <w:p>
      <w:pPr>
        <w:ind w:left="660"/>
        <w:spacing w:after="0"/>
        <w:rPr>
          <w:sz w:val="20"/>
          <w:szCs w:val="20"/>
          <w:color w:val="auto"/>
        </w:rPr>
      </w:pPr>
      <w:r>
        <w:rPr>
          <w:rFonts w:ascii="Verdana" w:cs="Verdana" w:eastAsia="Verdana" w:hAnsi="Verdana"/>
          <w:sz w:val="18"/>
          <w:szCs w:val="18"/>
          <w:color w:val="auto"/>
        </w:rPr>
        <w:t>Business Hours recommence. The addresses and email addresses of the parties for the purposes of notices are:</w:t>
      </w:r>
    </w:p>
    <w:p>
      <w:pPr>
        <w:spacing w:after="0" w:line="227" w:lineRule="exact"/>
        <w:rPr>
          <w:sz w:val="20"/>
          <w:szCs w:val="20"/>
          <w:color w:val="auto"/>
        </w:rPr>
      </w:pPr>
    </w:p>
    <w:p>
      <w:pPr>
        <w:ind w:left="180"/>
        <w:spacing w:after="0"/>
        <w:rPr>
          <w:sz w:val="20"/>
          <w:szCs w:val="20"/>
          <w:color w:val="auto"/>
        </w:rPr>
      </w:pPr>
      <w:r>
        <w:rPr>
          <w:rFonts w:ascii="Verdana" w:cs="Verdana" w:eastAsia="Verdana" w:hAnsi="Verdana"/>
          <w:sz w:val="13"/>
          <w:szCs w:val="13"/>
          <w:color w:val="auto"/>
        </w:rPr>
        <w:t>14ï2</w:t>
      </w:r>
    </w:p>
    <w:p>
      <w:pPr>
        <w:spacing w:after="0" w:line="126"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19" w:lineRule="exact"/>
        <w:rPr>
          <w:sz w:val="20"/>
          <w:szCs w:val="20"/>
          <w:color w:val="auto"/>
        </w:rPr>
      </w:pPr>
    </w:p>
    <w:tbl>
      <w:tblPr>
        <w:tblLayout w:type="fixed"/>
        <w:tblInd w:w="1310" w:type="dxa"/>
        <w:tblCellMar>
          <w:top w:w="0" w:type="dxa"/>
          <w:left w:w="0" w:type="dxa"/>
          <w:bottom w:w="0" w:type="dxa"/>
          <w:right w:w="0" w:type="dxa"/>
        </w:tblCellMar>
      </w:tblPr>
      <w:tr>
        <w:trPr>
          <w:trHeight w:val="297"/>
        </w:trPr>
        <w:tc>
          <w:tcPr>
            <w:tcW w:w="520" w:type="dxa"/>
            <w:vAlign w:val="bottom"/>
            <w:tcBorders>
              <w:top w:val="single" w:sz="8" w:color="auto"/>
              <w:left w:val="single" w:sz="8" w:color="auto"/>
            </w:tcBorders>
          </w:tcPr>
          <w:p>
            <w:pPr>
              <w:ind w:left="80"/>
              <w:spacing w:after="0"/>
              <w:rPr>
                <w:sz w:val="20"/>
                <w:szCs w:val="20"/>
                <w:color w:val="auto"/>
              </w:rPr>
            </w:pPr>
            <w:r>
              <w:rPr>
                <w:rFonts w:ascii="Verdana" w:cs="Verdana" w:eastAsia="Verdana" w:hAnsi="Verdana"/>
                <w:sz w:val="18"/>
                <w:szCs w:val="18"/>
                <w:color w:val="auto"/>
              </w:rPr>
              <w:t>1.1</w:t>
            </w:r>
          </w:p>
        </w:tc>
        <w:tc>
          <w:tcPr>
            <w:tcW w:w="1140" w:type="dxa"/>
            <w:vAlign w:val="bottom"/>
            <w:tcBorders>
              <w:top w:val="single" w:sz="8" w:color="auto"/>
            </w:tcBorders>
            <w:gridSpan w:val="2"/>
          </w:tcPr>
          <w:p>
            <w:pPr>
              <w:ind w:left="160"/>
              <w:spacing w:after="0"/>
              <w:rPr>
                <w:sz w:val="20"/>
                <w:szCs w:val="20"/>
                <w:color w:val="auto"/>
              </w:rPr>
            </w:pPr>
            <w:r>
              <w:rPr>
                <w:rFonts w:ascii="Verdana" w:cs="Verdana" w:eastAsia="Verdana" w:hAnsi="Verdana"/>
                <w:sz w:val="18"/>
                <w:szCs w:val="18"/>
                <w:b w:val="1"/>
                <w:bCs w:val="1"/>
                <w:color w:val="auto"/>
              </w:rPr>
              <w:t>Company</w:t>
            </w:r>
          </w:p>
        </w:tc>
        <w:tc>
          <w:tcPr>
            <w:tcW w:w="920" w:type="dxa"/>
            <w:vAlign w:val="bottom"/>
            <w:tcBorders>
              <w:top w:val="single" w:sz="8" w:color="auto"/>
              <w:right w:val="single" w:sz="8" w:color="auto"/>
            </w:tcBorders>
          </w:tcPr>
          <w:p>
            <w:pPr>
              <w:spacing w:after="0"/>
              <w:rPr>
                <w:sz w:val="24"/>
                <w:szCs w:val="24"/>
                <w:color w:val="auto"/>
              </w:rPr>
            </w:pPr>
          </w:p>
        </w:tc>
        <w:tc>
          <w:tcPr>
            <w:tcW w:w="600" w:type="dxa"/>
            <w:vAlign w:val="bottom"/>
            <w:tcBorders>
              <w:top w:val="single" w:sz="8" w:color="auto"/>
            </w:tcBorders>
          </w:tcPr>
          <w:p>
            <w:pPr>
              <w:ind w:left="60"/>
              <w:spacing w:after="0"/>
              <w:rPr>
                <w:sz w:val="20"/>
                <w:szCs w:val="20"/>
                <w:color w:val="auto"/>
              </w:rPr>
            </w:pPr>
            <w:r>
              <w:rPr>
                <w:rFonts w:ascii="Verdana" w:cs="Verdana" w:eastAsia="Verdana" w:hAnsi="Verdana"/>
                <w:sz w:val="18"/>
                <w:szCs w:val="18"/>
                <w:color w:val="auto"/>
              </w:rPr>
              <w:t>1.1</w:t>
            </w:r>
          </w:p>
        </w:tc>
        <w:tc>
          <w:tcPr>
            <w:tcW w:w="1900" w:type="dxa"/>
            <w:vAlign w:val="bottom"/>
            <w:tcBorders>
              <w:top w:val="single" w:sz="8" w:color="auto"/>
              <w:right w:val="single" w:sz="8" w:color="auto"/>
            </w:tcBorders>
            <w:gridSpan w:val="2"/>
          </w:tcPr>
          <w:p>
            <w:pPr>
              <w:ind w:left="40"/>
              <w:spacing w:after="0"/>
              <w:rPr>
                <w:sz w:val="20"/>
                <w:szCs w:val="20"/>
                <w:color w:val="auto"/>
              </w:rPr>
            </w:pPr>
            <w:r>
              <w:rPr>
                <w:rFonts w:ascii="Verdana" w:cs="Verdana" w:eastAsia="Verdana" w:hAnsi="Verdana"/>
                <w:sz w:val="18"/>
                <w:szCs w:val="18"/>
                <w:b w:val="1"/>
                <w:bCs w:val="1"/>
                <w:color w:val="auto"/>
              </w:rPr>
              <w:t>Address</w:t>
            </w:r>
          </w:p>
        </w:tc>
        <w:tc>
          <w:tcPr>
            <w:tcW w:w="520" w:type="dxa"/>
            <w:vAlign w:val="bottom"/>
            <w:tcBorders>
              <w:top w:val="single" w:sz="8" w:color="auto"/>
            </w:tcBorders>
          </w:tcPr>
          <w:p>
            <w:pPr>
              <w:jc w:val="right"/>
              <w:ind w:right="70"/>
              <w:spacing w:after="0"/>
              <w:rPr>
                <w:sz w:val="20"/>
                <w:szCs w:val="20"/>
                <w:color w:val="auto"/>
              </w:rPr>
            </w:pPr>
            <w:r>
              <w:rPr>
                <w:rFonts w:ascii="Verdana" w:cs="Verdana" w:eastAsia="Verdana" w:hAnsi="Verdana"/>
                <w:sz w:val="18"/>
                <w:szCs w:val="18"/>
                <w:color w:val="auto"/>
              </w:rPr>
              <w:t>1.1</w:t>
            </w:r>
          </w:p>
        </w:tc>
        <w:tc>
          <w:tcPr>
            <w:tcW w:w="1940" w:type="dxa"/>
            <w:vAlign w:val="bottom"/>
            <w:tcBorders>
              <w:top w:val="single" w:sz="8" w:color="auto"/>
              <w:right w:val="single" w:sz="8" w:color="auto"/>
            </w:tcBorders>
          </w:tcPr>
          <w:p>
            <w:pPr>
              <w:ind w:left="140"/>
              <w:spacing w:after="0"/>
              <w:rPr>
                <w:sz w:val="20"/>
                <w:szCs w:val="20"/>
                <w:color w:val="auto"/>
              </w:rPr>
            </w:pPr>
            <w:r>
              <w:rPr>
                <w:rFonts w:ascii="Verdana" w:cs="Verdana" w:eastAsia="Verdana" w:hAnsi="Verdana"/>
                <w:sz w:val="18"/>
                <w:szCs w:val="18"/>
                <w:b w:val="1"/>
                <w:bCs w:val="1"/>
                <w:color w:val="auto"/>
              </w:rPr>
              <w:t>Email</w:t>
            </w:r>
          </w:p>
        </w:tc>
        <w:tc>
          <w:tcPr>
            <w:tcW w:w="0" w:type="dxa"/>
            <w:vAlign w:val="bottom"/>
          </w:tcPr>
          <w:p>
            <w:pPr>
              <w:spacing w:after="0"/>
              <w:rPr>
                <w:sz w:val="1"/>
                <w:szCs w:val="1"/>
                <w:color w:val="auto"/>
              </w:rPr>
            </w:pPr>
          </w:p>
        </w:tc>
      </w:tr>
      <w:tr>
        <w:trPr>
          <w:trHeight w:val="229"/>
        </w:trPr>
        <w:tc>
          <w:tcPr>
            <w:tcW w:w="520" w:type="dxa"/>
            <w:vAlign w:val="bottom"/>
            <w:tcBorders>
              <w:left w:val="single" w:sz="8" w:color="auto"/>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20" w:type="dxa"/>
            <w:vAlign w:val="bottom"/>
            <w:tcBorders>
              <w:left w:val="single" w:sz="8" w:color="auto"/>
            </w:tcBorders>
          </w:tcPr>
          <w:p>
            <w:pPr>
              <w:ind w:left="80"/>
              <w:spacing w:after="0"/>
              <w:rPr>
                <w:sz w:val="20"/>
                <w:szCs w:val="20"/>
                <w:color w:val="auto"/>
              </w:rPr>
            </w:pPr>
            <w:r>
              <w:rPr>
                <w:rFonts w:ascii="Verdana" w:cs="Verdana" w:eastAsia="Verdana" w:hAnsi="Verdana"/>
                <w:sz w:val="18"/>
                <w:szCs w:val="18"/>
                <w:color w:val="auto"/>
              </w:rPr>
              <w:t>1.1</w:t>
            </w:r>
          </w:p>
        </w:tc>
        <w:tc>
          <w:tcPr>
            <w:tcW w:w="540" w:type="dxa"/>
            <w:vAlign w:val="bottom"/>
          </w:tcPr>
          <w:p>
            <w:pPr>
              <w:ind w:left="160"/>
              <w:spacing w:after="0"/>
              <w:rPr>
                <w:sz w:val="20"/>
                <w:szCs w:val="20"/>
                <w:color w:val="auto"/>
              </w:rPr>
            </w:pPr>
            <w:r>
              <w:rPr>
                <w:rFonts w:ascii="Verdana" w:cs="Verdana" w:eastAsia="Verdana" w:hAnsi="Verdana"/>
                <w:sz w:val="18"/>
                <w:szCs w:val="18"/>
                <w:color w:val="auto"/>
              </w:rPr>
              <w:t>For</w:t>
            </w:r>
          </w:p>
        </w:tc>
        <w:tc>
          <w:tcPr>
            <w:tcW w:w="600" w:type="dxa"/>
            <w:vAlign w:val="bottom"/>
          </w:tcPr>
          <w:p>
            <w:pPr>
              <w:ind w:left="100"/>
              <w:spacing w:after="0"/>
              <w:rPr>
                <w:sz w:val="20"/>
                <w:szCs w:val="20"/>
                <w:color w:val="auto"/>
              </w:rPr>
            </w:pPr>
            <w:r>
              <w:rPr>
                <w:rFonts w:ascii="Verdana" w:cs="Verdana" w:eastAsia="Verdana" w:hAnsi="Verdana"/>
                <w:sz w:val="18"/>
                <w:szCs w:val="18"/>
                <w:color w:val="auto"/>
              </w:rPr>
              <w:t>the</w:t>
            </w:r>
          </w:p>
        </w:tc>
        <w:tc>
          <w:tcPr>
            <w:tcW w:w="920" w:type="dxa"/>
            <w:vAlign w:val="bottom"/>
            <w:tcBorders>
              <w:right w:val="single" w:sz="8" w:color="auto"/>
            </w:tcBorders>
          </w:tcPr>
          <w:p>
            <w:pPr>
              <w:spacing w:after="0"/>
              <w:rPr>
                <w:sz w:val="20"/>
                <w:szCs w:val="20"/>
                <w:color w:val="auto"/>
              </w:rPr>
            </w:pPr>
            <w:r>
              <w:rPr>
                <w:rFonts w:ascii="Verdana" w:cs="Verdana" w:eastAsia="Verdana" w:hAnsi="Verdana"/>
                <w:sz w:val="18"/>
                <w:szCs w:val="18"/>
                <w:color w:val="auto"/>
              </w:rPr>
              <w:t>attention</w:t>
            </w:r>
          </w:p>
        </w:tc>
        <w:tc>
          <w:tcPr>
            <w:tcW w:w="600" w:type="dxa"/>
            <w:vAlign w:val="bottom"/>
          </w:tcPr>
          <w:p>
            <w:pPr>
              <w:ind w:left="60"/>
              <w:spacing w:after="0"/>
              <w:rPr>
                <w:sz w:val="20"/>
                <w:szCs w:val="20"/>
                <w:color w:val="auto"/>
              </w:rPr>
            </w:pPr>
            <w:r>
              <w:rPr>
                <w:rFonts w:ascii="Verdana" w:cs="Verdana" w:eastAsia="Verdana" w:hAnsi="Verdana"/>
                <w:sz w:val="18"/>
                <w:szCs w:val="18"/>
                <w:color w:val="auto"/>
              </w:rPr>
              <w:t>1.1</w:t>
            </w:r>
          </w:p>
        </w:tc>
        <w:tc>
          <w:tcPr>
            <w:tcW w:w="520" w:type="dxa"/>
            <w:vAlign w:val="bottom"/>
          </w:tcPr>
          <w:p>
            <w:pPr>
              <w:ind w:left="40"/>
              <w:spacing w:after="0"/>
              <w:rPr>
                <w:sz w:val="20"/>
                <w:szCs w:val="20"/>
                <w:color w:val="auto"/>
              </w:rPr>
            </w:pPr>
            <w:r>
              <w:rPr>
                <w:rFonts w:ascii="Verdana" w:cs="Verdana" w:eastAsia="Verdana" w:hAnsi="Verdana"/>
                <w:sz w:val="18"/>
                <w:szCs w:val="18"/>
                <w:color w:val="auto"/>
              </w:rPr>
              <w:t>The</w:t>
            </w:r>
          </w:p>
        </w:tc>
        <w:tc>
          <w:tcPr>
            <w:tcW w:w="1380" w:type="dxa"/>
            <w:vAlign w:val="bottom"/>
            <w:tcBorders>
              <w:right w:val="single" w:sz="8" w:color="auto"/>
            </w:tcBorders>
          </w:tcPr>
          <w:p>
            <w:pPr>
              <w:jc w:val="right"/>
              <w:spacing w:after="0"/>
              <w:rPr>
                <w:sz w:val="20"/>
                <w:szCs w:val="20"/>
                <w:color w:val="auto"/>
              </w:rPr>
            </w:pPr>
            <w:r>
              <w:rPr>
                <w:rFonts w:ascii="Verdana" w:cs="Verdana" w:eastAsia="Verdana" w:hAnsi="Verdana"/>
                <w:sz w:val="18"/>
                <w:szCs w:val="18"/>
                <w:color w:val="auto"/>
              </w:rPr>
              <w:t>Company’s</w:t>
            </w:r>
          </w:p>
        </w:tc>
        <w:tc>
          <w:tcPr>
            <w:tcW w:w="520" w:type="dxa"/>
            <w:vAlign w:val="bottom"/>
          </w:tcPr>
          <w:p>
            <w:pPr>
              <w:jc w:val="right"/>
              <w:ind w:right="70"/>
              <w:spacing w:after="0"/>
              <w:rPr>
                <w:sz w:val="20"/>
                <w:szCs w:val="20"/>
                <w:color w:val="auto"/>
              </w:rPr>
            </w:pPr>
            <w:r>
              <w:rPr>
                <w:rFonts w:ascii="Verdana" w:cs="Verdana" w:eastAsia="Verdana" w:hAnsi="Verdana"/>
                <w:sz w:val="18"/>
                <w:szCs w:val="18"/>
                <w:color w:val="auto"/>
              </w:rPr>
              <w:t>1.1</w:t>
            </w:r>
          </w:p>
        </w:tc>
        <w:tc>
          <w:tcPr>
            <w:tcW w:w="1940" w:type="dxa"/>
            <w:vAlign w:val="bottom"/>
            <w:tcBorders>
              <w:right w:val="single" w:sz="8" w:color="auto"/>
            </w:tcBorders>
          </w:tcPr>
          <w:p>
            <w:pPr>
              <w:ind w:left="140"/>
              <w:spacing w:after="0"/>
              <w:rPr>
                <w:sz w:val="20"/>
                <w:szCs w:val="20"/>
                <w:color w:val="auto"/>
              </w:rPr>
            </w:pPr>
            <w:r>
              <w:rPr>
                <w:rFonts w:ascii="Verdana" w:cs="Verdana" w:eastAsia="Verdana" w:hAnsi="Verdana"/>
                <w:sz w:val="18"/>
                <w:szCs w:val="18"/>
                <w:color w:val="auto"/>
              </w:rPr>
              <w:t>Cosec@flutter.com</w:t>
            </w:r>
          </w:p>
        </w:tc>
        <w:tc>
          <w:tcPr>
            <w:tcW w:w="0" w:type="dxa"/>
            <w:vAlign w:val="bottom"/>
          </w:tcPr>
          <w:p>
            <w:pPr>
              <w:spacing w:after="0"/>
              <w:rPr>
                <w:sz w:val="1"/>
                <w:szCs w:val="1"/>
                <w:color w:val="auto"/>
              </w:rPr>
            </w:pPr>
          </w:p>
        </w:tc>
      </w:tr>
      <w:tr>
        <w:trPr>
          <w:trHeight w:val="297"/>
        </w:trPr>
        <w:tc>
          <w:tcPr>
            <w:tcW w:w="520" w:type="dxa"/>
            <w:vAlign w:val="bottom"/>
            <w:tcBorders>
              <w:left w:val="single" w:sz="8" w:color="auto"/>
            </w:tcBorders>
          </w:tcPr>
          <w:p>
            <w:pPr>
              <w:ind w:left="80"/>
              <w:spacing w:after="0"/>
              <w:rPr>
                <w:sz w:val="20"/>
                <w:szCs w:val="20"/>
                <w:color w:val="auto"/>
              </w:rPr>
            </w:pPr>
            <w:r>
              <w:rPr>
                <w:rFonts w:ascii="Verdana" w:cs="Verdana" w:eastAsia="Verdana" w:hAnsi="Verdana"/>
                <w:sz w:val="18"/>
                <w:szCs w:val="18"/>
                <w:color w:val="auto"/>
              </w:rPr>
              <w:t>of:</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2500" w:type="dxa"/>
            <w:vAlign w:val="bottom"/>
            <w:tcBorders>
              <w:right w:val="single" w:sz="8" w:color="auto"/>
            </w:tcBorders>
            <w:gridSpan w:val="3"/>
          </w:tcPr>
          <w:p>
            <w:pPr>
              <w:ind w:left="60"/>
              <w:spacing w:after="0"/>
              <w:rPr>
                <w:sz w:val="20"/>
                <w:szCs w:val="20"/>
                <w:color w:val="auto"/>
              </w:rPr>
            </w:pPr>
            <w:r>
              <w:rPr>
                <w:rFonts w:ascii="Verdana" w:cs="Verdana" w:eastAsia="Verdana" w:hAnsi="Verdana"/>
                <w:sz w:val="18"/>
                <w:szCs w:val="18"/>
                <w:color w:val="auto"/>
              </w:rPr>
              <w:t>registered office</w:t>
            </w:r>
          </w:p>
        </w:tc>
        <w:tc>
          <w:tcPr>
            <w:tcW w:w="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20" w:type="dxa"/>
            <w:vAlign w:val="bottom"/>
            <w:tcBorders>
              <w:left w:val="single" w:sz="8" w:color="auto"/>
            </w:tcBorders>
          </w:tcPr>
          <w:p>
            <w:pPr>
              <w:ind w:left="80"/>
              <w:spacing w:after="0"/>
              <w:rPr>
                <w:sz w:val="20"/>
                <w:szCs w:val="20"/>
                <w:color w:val="auto"/>
              </w:rPr>
            </w:pPr>
            <w:r>
              <w:rPr>
                <w:rFonts w:ascii="Verdana" w:cs="Verdana" w:eastAsia="Verdana" w:hAnsi="Verdana"/>
                <w:sz w:val="18"/>
                <w:szCs w:val="18"/>
                <w:color w:val="auto"/>
              </w:rPr>
              <w:t>1.2</w:t>
            </w:r>
          </w:p>
        </w:tc>
        <w:tc>
          <w:tcPr>
            <w:tcW w:w="2060" w:type="dxa"/>
            <w:vAlign w:val="bottom"/>
            <w:tcBorders>
              <w:right w:val="single" w:sz="8" w:color="auto"/>
            </w:tcBorders>
            <w:gridSpan w:val="3"/>
          </w:tcPr>
          <w:p>
            <w:pPr>
              <w:ind w:left="160"/>
              <w:spacing w:after="0"/>
              <w:rPr>
                <w:sz w:val="20"/>
                <w:szCs w:val="20"/>
                <w:color w:val="auto"/>
              </w:rPr>
            </w:pPr>
            <w:r>
              <w:rPr>
                <w:rFonts w:ascii="Verdana" w:cs="Verdana" w:eastAsia="Verdana" w:hAnsi="Verdana"/>
                <w:sz w:val="18"/>
                <w:szCs w:val="18"/>
                <w:color w:val="auto"/>
              </w:rPr>
              <w:t>Edward Traynor</w:t>
            </w: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20" w:type="dxa"/>
            <w:vAlign w:val="bottom"/>
            <w:tcBorders>
              <w:left w:val="single" w:sz="8" w:color="auto"/>
              <w:bottom w:val="single" w:sz="8" w:color="auto"/>
            </w:tcBorders>
          </w:tcPr>
          <w:p>
            <w:pPr>
              <w:spacing w:after="0"/>
              <w:rPr>
                <w:sz w:val="19"/>
                <w:szCs w:val="19"/>
                <w:color w:val="auto"/>
              </w:rPr>
            </w:pPr>
          </w:p>
        </w:tc>
        <w:tc>
          <w:tcPr>
            <w:tcW w:w="1140" w:type="dxa"/>
            <w:vAlign w:val="bottom"/>
            <w:tcBorders>
              <w:bottom w:val="single" w:sz="8" w:color="auto"/>
            </w:tcBorders>
            <w:gridSpan w:val="2"/>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right w:val="single" w:sz="8" w:color="auto"/>
            </w:tcBorders>
            <w:gridSpan w:val="2"/>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20" w:type="dxa"/>
            <w:vAlign w:val="bottom"/>
            <w:tcBorders>
              <w:left w:val="single" w:sz="8" w:color="auto"/>
            </w:tcBorders>
          </w:tcPr>
          <w:p>
            <w:pPr>
              <w:ind w:left="80"/>
              <w:spacing w:after="0"/>
              <w:rPr>
                <w:sz w:val="20"/>
                <w:szCs w:val="20"/>
                <w:color w:val="auto"/>
              </w:rPr>
            </w:pPr>
            <w:r>
              <w:rPr>
                <w:rFonts w:ascii="Verdana" w:cs="Verdana" w:eastAsia="Verdana" w:hAnsi="Verdana"/>
                <w:sz w:val="18"/>
                <w:szCs w:val="18"/>
                <w:color w:val="auto"/>
              </w:rPr>
              <w:t>1.1</w:t>
            </w:r>
          </w:p>
        </w:tc>
        <w:tc>
          <w:tcPr>
            <w:tcW w:w="1140" w:type="dxa"/>
            <w:vAlign w:val="bottom"/>
            <w:gridSpan w:val="2"/>
          </w:tcPr>
          <w:p>
            <w:pPr>
              <w:ind w:left="160"/>
              <w:spacing w:after="0"/>
              <w:rPr>
                <w:sz w:val="20"/>
                <w:szCs w:val="20"/>
                <w:color w:val="auto"/>
              </w:rPr>
            </w:pPr>
            <w:r>
              <w:rPr>
                <w:rFonts w:ascii="Verdana" w:cs="Verdana" w:eastAsia="Verdana" w:hAnsi="Verdana"/>
                <w:sz w:val="18"/>
                <w:szCs w:val="18"/>
                <w:b w:val="1"/>
                <w:bCs w:val="1"/>
                <w:color w:val="auto"/>
                <w:w w:val="97"/>
              </w:rPr>
              <w:t>Employee</w:t>
            </w:r>
          </w:p>
        </w:tc>
        <w:tc>
          <w:tcPr>
            <w:tcW w:w="920" w:type="dxa"/>
            <w:vAlign w:val="bottom"/>
            <w:tcBorders>
              <w:right w:val="single" w:sz="8" w:color="auto"/>
            </w:tcBorders>
          </w:tcPr>
          <w:p>
            <w:pPr>
              <w:spacing w:after="0"/>
              <w:rPr>
                <w:sz w:val="24"/>
                <w:szCs w:val="24"/>
                <w:color w:val="auto"/>
              </w:rPr>
            </w:pPr>
          </w:p>
        </w:tc>
        <w:tc>
          <w:tcPr>
            <w:tcW w:w="600" w:type="dxa"/>
            <w:vAlign w:val="bottom"/>
          </w:tcPr>
          <w:p>
            <w:pPr>
              <w:ind w:left="60"/>
              <w:spacing w:after="0"/>
              <w:rPr>
                <w:sz w:val="20"/>
                <w:szCs w:val="20"/>
                <w:color w:val="auto"/>
              </w:rPr>
            </w:pPr>
            <w:r>
              <w:rPr>
                <w:rFonts w:ascii="Verdana" w:cs="Verdana" w:eastAsia="Verdana" w:hAnsi="Verdana"/>
                <w:sz w:val="18"/>
                <w:szCs w:val="18"/>
                <w:color w:val="auto"/>
              </w:rPr>
              <w:t>1.1</w:t>
            </w:r>
          </w:p>
        </w:tc>
        <w:tc>
          <w:tcPr>
            <w:tcW w:w="1900" w:type="dxa"/>
            <w:vAlign w:val="bottom"/>
            <w:tcBorders>
              <w:right w:val="single" w:sz="8" w:color="auto"/>
            </w:tcBorders>
            <w:gridSpan w:val="2"/>
          </w:tcPr>
          <w:p>
            <w:pPr>
              <w:ind w:left="40"/>
              <w:spacing w:after="0"/>
              <w:rPr>
                <w:sz w:val="20"/>
                <w:szCs w:val="20"/>
                <w:color w:val="auto"/>
              </w:rPr>
            </w:pPr>
            <w:r>
              <w:rPr>
                <w:rFonts w:ascii="Verdana" w:cs="Verdana" w:eastAsia="Verdana" w:hAnsi="Verdana"/>
                <w:sz w:val="18"/>
                <w:szCs w:val="18"/>
                <w:b w:val="1"/>
                <w:bCs w:val="1"/>
                <w:color w:val="auto"/>
              </w:rPr>
              <w:t>Address</w:t>
            </w:r>
          </w:p>
        </w:tc>
        <w:tc>
          <w:tcPr>
            <w:tcW w:w="520" w:type="dxa"/>
            <w:vAlign w:val="bottom"/>
          </w:tcPr>
          <w:p>
            <w:pPr>
              <w:jc w:val="right"/>
              <w:ind w:right="70"/>
              <w:spacing w:after="0"/>
              <w:rPr>
                <w:sz w:val="20"/>
                <w:szCs w:val="20"/>
                <w:color w:val="auto"/>
              </w:rPr>
            </w:pPr>
            <w:r>
              <w:rPr>
                <w:rFonts w:ascii="Verdana" w:cs="Verdana" w:eastAsia="Verdana" w:hAnsi="Verdana"/>
                <w:sz w:val="18"/>
                <w:szCs w:val="18"/>
                <w:color w:val="auto"/>
              </w:rPr>
              <w:t>1.1</w:t>
            </w:r>
          </w:p>
        </w:tc>
        <w:tc>
          <w:tcPr>
            <w:tcW w:w="1940" w:type="dxa"/>
            <w:vAlign w:val="bottom"/>
            <w:tcBorders>
              <w:right w:val="single" w:sz="8" w:color="auto"/>
            </w:tcBorders>
          </w:tcPr>
          <w:p>
            <w:pPr>
              <w:ind w:left="140"/>
              <w:spacing w:after="0"/>
              <w:rPr>
                <w:sz w:val="20"/>
                <w:szCs w:val="20"/>
                <w:color w:val="auto"/>
              </w:rPr>
            </w:pPr>
            <w:r>
              <w:rPr>
                <w:rFonts w:ascii="Verdana" w:cs="Verdana" w:eastAsia="Verdana" w:hAnsi="Verdana"/>
                <w:sz w:val="18"/>
                <w:szCs w:val="18"/>
                <w:b w:val="1"/>
                <w:bCs w:val="1"/>
                <w:color w:val="auto"/>
              </w:rPr>
              <w:t>Email</w:t>
            </w:r>
          </w:p>
        </w:tc>
        <w:tc>
          <w:tcPr>
            <w:tcW w:w="0" w:type="dxa"/>
            <w:vAlign w:val="bottom"/>
          </w:tcPr>
          <w:p>
            <w:pPr>
              <w:spacing w:after="0"/>
              <w:rPr>
                <w:sz w:val="1"/>
                <w:szCs w:val="1"/>
                <w:color w:val="auto"/>
              </w:rPr>
            </w:pPr>
          </w:p>
        </w:tc>
      </w:tr>
      <w:tr>
        <w:trPr>
          <w:trHeight w:val="229"/>
        </w:trPr>
        <w:tc>
          <w:tcPr>
            <w:tcW w:w="520" w:type="dxa"/>
            <w:vAlign w:val="bottom"/>
            <w:tcBorders>
              <w:left w:val="single" w:sz="8" w:color="auto"/>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520" w:type="dxa"/>
            <w:vAlign w:val="bottom"/>
            <w:tcBorders>
              <w:left w:val="single" w:sz="8" w:color="auto"/>
            </w:tcBorders>
          </w:tcPr>
          <w:p>
            <w:pPr>
              <w:ind w:left="80"/>
              <w:spacing w:after="0"/>
              <w:rPr>
                <w:sz w:val="20"/>
                <w:szCs w:val="20"/>
                <w:color w:val="auto"/>
              </w:rPr>
            </w:pPr>
            <w:r>
              <w:rPr>
                <w:rFonts w:ascii="Verdana" w:cs="Verdana" w:eastAsia="Verdana" w:hAnsi="Verdana"/>
                <w:sz w:val="18"/>
                <w:szCs w:val="18"/>
                <w:color w:val="auto"/>
              </w:rPr>
              <w:t>1.1</w:t>
            </w:r>
          </w:p>
        </w:tc>
        <w:tc>
          <w:tcPr>
            <w:tcW w:w="540" w:type="dxa"/>
            <w:vAlign w:val="bottom"/>
          </w:tcPr>
          <w:p>
            <w:pPr>
              <w:ind w:left="160"/>
              <w:spacing w:after="0"/>
              <w:rPr>
                <w:sz w:val="20"/>
                <w:szCs w:val="20"/>
                <w:color w:val="auto"/>
              </w:rPr>
            </w:pPr>
            <w:r>
              <w:rPr>
                <w:rFonts w:ascii="Verdana" w:cs="Verdana" w:eastAsia="Verdana" w:hAnsi="Verdana"/>
                <w:sz w:val="18"/>
                <w:szCs w:val="18"/>
                <w:color w:val="auto"/>
              </w:rPr>
              <w:t>For</w:t>
            </w:r>
          </w:p>
        </w:tc>
        <w:tc>
          <w:tcPr>
            <w:tcW w:w="600" w:type="dxa"/>
            <w:vAlign w:val="bottom"/>
          </w:tcPr>
          <w:p>
            <w:pPr>
              <w:ind w:left="100"/>
              <w:spacing w:after="0"/>
              <w:rPr>
                <w:sz w:val="20"/>
                <w:szCs w:val="20"/>
                <w:color w:val="auto"/>
              </w:rPr>
            </w:pPr>
            <w:r>
              <w:rPr>
                <w:rFonts w:ascii="Verdana" w:cs="Verdana" w:eastAsia="Verdana" w:hAnsi="Verdana"/>
                <w:sz w:val="18"/>
                <w:szCs w:val="18"/>
                <w:color w:val="auto"/>
              </w:rPr>
              <w:t>the</w:t>
            </w:r>
          </w:p>
        </w:tc>
        <w:tc>
          <w:tcPr>
            <w:tcW w:w="920" w:type="dxa"/>
            <w:vAlign w:val="bottom"/>
            <w:tcBorders>
              <w:right w:val="single" w:sz="8" w:color="auto"/>
            </w:tcBorders>
          </w:tcPr>
          <w:p>
            <w:pPr>
              <w:spacing w:after="0"/>
              <w:rPr>
                <w:sz w:val="20"/>
                <w:szCs w:val="20"/>
                <w:color w:val="auto"/>
              </w:rPr>
            </w:pPr>
            <w:r>
              <w:rPr>
                <w:rFonts w:ascii="Verdana" w:cs="Verdana" w:eastAsia="Verdana" w:hAnsi="Verdana"/>
                <w:sz w:val="18"/>
                <w:szCs w:val="18"/>
                <w:color w:val="auto"/>
              </w:rPr>
              <w:t>attention</w:t>
            </w:r>
          </w:p>
        </w:tc>
        <w:tc>
          <w:tcPr>
            <w:tcW w:w="600" w:type="dxa"/>
            <w:vAlign w:val="bottom"/>
          </w:tcPr>
          <w:p>
            <w:pPr>
              <w:ind w:left="60"/>
              <w:spacing w:after="0"/>
              <w:rPr>
                <w:sz w:val="20"/>
                <w:szCs w:val="20"/>
                <w:color w:val="auto"/>
              </w:rPr>
            </w:pPr>
            <w:r>
              <w:rPr>
                <w:rFonts w:ascii="Verdana" w:cs="Verdana" w:eastAsia="Verdana" w:hAnsi="Verdana"/>
                <w:sz w:val="18"/>
                <w:szCs w:val="18"/>
                <w:color w:val="auto"/>
              </w:rPr>
              <w:t>1.1</w:t>
            </w:r>
          </w:p>
        </w:tc>
        <w:tc>
          <w:tcPr>
            <w:tcW w:w="520" w:type="dxa"/>
            <w:vAlign w:val="bottom"/>
          </w:tcPr>
          <w:p>
            <w:pPr>
              <w:ind w:left="40"/>
              <w:spacing w:after="0"/>
              <w:rPr>
                <w:sz w:val="20"/>
                <w:szCs w:val="20"/>
                <w:color w:val="auto"/>
              </w:rPr>
            </w:pPr>
            <w:r>
              <w:rPr>
                <w:rFonts w:ascii="Verdana" w:cs="Verdana" w:eastAsia="Verdana" w:hAnsi="Verdana"/>
                <w:sz w:val="18"/>
                <w:szCs w:val="18"/>
                <w:color w:val="auto"/>
              </w:rPr>
              <w:t>The</w:t>
            </w:r>
          </w:p>
        </w:tc>
        <w:tc>
          <w:tcPr>
            <w:tcW w:w="1380" w:type="dxa"/>
            <w:vAlign w:val="bottom"/>
            <w:tcBorders>
              <w:right w:val="single" w:sz="8" w:color="auto"/>
            </w:tcBorders>
          </w:tcPr>
          <w:p>
            <w:pPr>
              <w:jc w:val="right"/>
              <w:ind w:right="10"/>
              <w:spacing w:after="0"/>
              <w:rPr>
                <w:sz w:val="20"/>
                <w:szCs w:val="20"/>
                <w:color w:val="auto"/>
              </w:rPr>
            </w:pPr>
            <w:r>
              <w:rPr>
                <w:rFonts w:ascii="Verdana" w:cs="Verdana" w:eastAsia="Verdana" w:hAnsi="Verdana"/>
                <w:sz w:val="18"/>
                <w:szCs w:val="18"/>
                <w:color w:val="auto"/>
              </w:rPr>
              <w:t>Employee’s</w:t>
            </w:r>
          </w:p>
        </w:tc>
        <w:tc>
          <w:tcPr>
            <w:tcW w:w="520" w:type="dxa"/>
            <w:vAlign w:val="bottom"/>
          </w:tcPr>
          <w:p>
            <w:pPr>
              <w:jc w:val="right"/>
              <w:ind w:right="70"/>
              <w:spacing w:after="0"/>
              <w:rPr>
                <w:sz w:val="20"/>
                <w:szCs w:val="20"/>
                <w:color w:val="auto"/>
              </w:rPr>
            </w:pPr>
            <w:r>
              <w:rPr>
                <w:rFonts w:ascii="Verdana" w:cs="Verdana" w:eastAsia="Verdana" w:hAnsi="Verdana"/>
                <w:sz w:val="18"/>
                <w:szCs w:val="18"/>
                <w:color w:val="auto"/>
              </w:rPr>
              <w:t>1.1</w:t>
            </w:r>
          </w:p>
        </w:tc>
        <w:tc>
          <w:tcPr>
            <w:tcW w:w="1940" w:type="dxa"/>
            <w:vAlign w:val="bottom"/>
            <w:tcBorders>
              <w:right w:val="single" w:sz="8" w:color="auto"/>
            </w:tcBorders>
          </w:tcPr>
          <w:p>
            <w:pPr>
              <w:ind w:left="140"/>
              <w:spacing w:after="0"/>
              <w:rPr>
                <w:sz w:val="20"/>
                <w:szCs w:val="20"/>
                <w:color w:val="auto"/>
              </w:rPr>
            </w:pPr>
            <w:r>
              <w:rPr>
                <w:rFonts w:ascii="Verdana" w:cs="Verdana" w:eastAsia="Verdana" w:hAnsi="Verdana"/>
                <w:sz w:val="18"/>
                <w:szCs w:val="18"/>
                <w:color w:val="auto"/>
              </w:rPr>
              <w:t>[***]</w:t>
            </w:r>
          </w:p>
        </w:tc>
        <w:tc>
          <w:tcPr>
            <w:tcW w:w="0" w:type="dxa"/>
            <w:vAlign w:val="bottom"/>
          </w:tcPr>
          <w:p>
            <w:pPr>
              <w:spacing w:after="0"/>
              <w:rPr>
                <w:sz w:val="1"/>
                <w:szCs w:val="1"/>
                <w:color w:val="auto"/>
              </w:rPr>
            </w:pPr>
          </w:p>
        </w:tc>
      </w:tr>
      <w:tr>
        <w:trPr>
          <w:trHeight w:val="297"/>
        </w:trPr>
        <w:tc>
          <w:tcPr>
            <w:tcW w:w="520" w:type="dxa"/>
            <w:vAlign w:val="bottom"/>
            <w:tcBorders>
              <w:left w:val="single" w:sz="8" w:color="auto"/>
            </w:tcBorders>
          </w:tcPr>
          <w:p>
            <w:pPr>
              <w:ind w:left="80"/>
              <w:spacing w:after="0"/>
              <w:rPr>
                <w:sz w:val="20"/>
                <w:szCs w:val="20"/>
                <w:color w:val="auto"/>
              </w:rPr>
            </w:pPr>
            <w:r>
              <w:rPr>
                <w:rFonts w:ascii="Verdana" w:cs="Verdana" w:eastAsia="Verdana" w:hAnsi="Verdana"/>
                <w:sz w:val="18"/>
                <w:szCs w:val="18"/>
                <w:color w:val="auto"/>
              </w:rPr>
              <w:t>of:</w:t>
            </w: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600" w:type="dxa"/>
            <w:vAlign w:val="bottom"/>
          </w:tcPr>
          <w:p>
            <w:pPr>
              <w:ind w:left="60"/>
              <w:spacing w:after="0"/>
              <w:rPr>
                <w:sz w:val="20"/>
                <w:szCs w:val="20"/>
                <w:color w:val="auto"/>
              </w:rPr>
            </w:pPr>
            <w:r>
              <w:rPr>
                <w:rFonts w:ascii="Verdana" w:cs="Verdana" w:eastAsia="Verdana" w:hAnsi="Verdana"/>
                <w:sz w:val="18"/>
                <w:szCs w:val="18"/>
                <w:color w:val="auto"/>
              </w:rPr>
              <w:t>usual</w:t>
            </w:r>
          </w:p>
        </w:tc>
        <w:tc>
          <w:tcPr>
            <w:tcW w:w="520" w:type="dxa"/>
            <w:vAlign w:val="bottom"/>
          </w:tcPr>
          <w:p>
            <w:pPr>
              <w:ind w:left="200"/>
              <w:spacing w:after="0"/>
              <w:rPr>
                <w:sz w:val="20"/>
                <w:szCs w:val="20"/>
                <w:color w:val="auto"/>
              </w:rPr>
            </w:pPr>
            <w:r>
              <w:rPr>
                <w:rFonts w:ascii="Verdana" w:cs="Verdana" w:eastAsia="Verdana" w:hAnsi="Verdana"/>
                <w:sz w:val="18"/>
                <w:szCs w:val="18"/>
                <w:color w:val="auto"/>
              </w:rPr>
              <w:t>or</w:t>
            </w:r>
          </w:p>
        </w:tc>
        <w:tc>
          <w:tcPr>
            <w:tcW w:w="1380" w:type="dxa"/>
            <w:vAlign w:val="bottom"/>
            <w:tcBorders>
              <w:right w:val="single" w:sz="8" w:color="auto"/>
            </w:tcBorders>
          </w:tcPr>
          <w:p>
            <w:pPr>
              <w:jc w:val="right"/>
              <w:spacing w:after="0"/>
              <w:rPr>
                <w:sz w:val="20"/>
                <w:szCs w:val="20"/>
                <w:color w:val="auto"/>
              </w:rPr>
            </w:pPr>
            <w:r>
              <w:rPr>
                <w:rFonts w:ascii="Verdana" w:cs="Verdana" w:eastAsia="Verdana" w:hAnsi="Verdana"/>
                <w:sz w:val="18"/>
                <w:szCs w:val="18"/>
                <w:color w:val="auto"/>
              </w:rPr>
              <w:t>last   known</w:t>
            </w:r>
          </w:p>
        </w:tc>
        <w:tc>
          <w:tcPr>
            <w:tcW w:w="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Borders>
              <w:left w:val="single" w:sz="8" w:color="auto"/>
            </w:tcBorders>
            <w:vMerge w:val="restart"/>
          </w:tcPr>
          <w:p>
            <w:pPr>
              <w:ind w:left="80"/>
              <w:spacing w:after="0"/>
              <w:rPr>
                <w:sz w:val="20"/>
                <w:szCs w:val="20"/>
                <w:color w:val="auto"/>
              </w:rPr>
            </w:pPr>
            <w:r>
              <w:rPr>
                <w:rFonts w:ascii="Verdana" w:cs="Verdana" w:eastAsia="Verdana" w:hAnsi="Verdana"/>
                <w:sz w:val="18"/>
                <w:szCs w:val="18"/>
                <w:color w:val="auto"/>
              </w:rPr>
              <w:t>1.2</w:t>
            </w:r>
          </w:p>
        </w:tc>
        <w:tc>
          <w:tcPr>
            <w:tcW w:w="2060" w:type="dxa"/>
            <w:vAlign w:val="bottom"/>
            <w:tcBorders>
              <w:right w:val="single" w:sz="8" w:color="auto"/>
            </w:tcBorders>
            <w:gridSpan w:val="3"/>
            <w:vMerge w:val="restart"/>
          </w:tcPr>
          <w:p>
            <w:pPr>
              <w:ind w:left="160"/>
              <w:spacing w:after="0"/>
              <w:rPr>
                <w:sz w:val="20"/>
                <w:szCs w:val="20"/>
                <w:color w:val="auto"/>
              </w:rPr>
            </w:pPr>
            <w:r>
              <w:rPr>
                <w:rFonts w:ascii="Verdana" w:cs="Verdana" w:eastAsia="Verdana" w:hAnsi="Verdana"/>
                <w:sz w:val="18"/>
                <w:szCs w:val="18"/>
                <w:color w:val="auto"/>
              </w:rPr>
              <w:t>Peter Jackson</w:t>
            </w:r>
          </w:p>
        </w:tc>
        <w:tc>
          <w:tcPr>
            <w:tcW w:w="1120" w:type="dxa"/>
            <w:vAlign w:val="bottom"/>
            <w:gridSpan w:val="2"/>
          </w:tcPr>
          <w:p>
            <w:pPr>
              <w:ind w:left="60"/>
              <w:spacing w:after="0"/>
              <w:rPr>
                <w:sz w:val="20"/>
                <w:szCs w:val="20"/>
                <w:color w:val="auto"/>
              </w:rPr>
            </w:pPr>
            <w:r>
              <w:rPr>
                <w:rFonts w:ascii="Verdana" w:cs="Verdana" w:eastAsia="Verdana" w:hAnsi="Verdana"/>
                <w:sz w:val="18"/>
                <w:szCs w:val="18"/>
                <w:color w:val="auto"/>
              </w:rPr>
              <w:t>address</w:t>
            </w:r>
          </w:p>
        </w:tc>
        <w:tc>
          <w:tcPr>
            <w:tcW w:w="138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20" w:type="dxa"/>
            <w:vAlign w:val="bottom"/>
            <w:tcBorders>
              <w:left w:val="single" w:sz="8" w:color="auto"/>
            </w:tcBorders>
            <w:vMerge w:val="continue"/>
          </w:tcPr>
          <w:p>
            <w:pPr>
              <w:spacing w:after="0"/>
              <w:rPr>
                <w:sz w:val="14"/>
                <w:szCs w:val="14"/>
                <w:color w:val="auto"/>
              </w:rPr>
            </w:pPr>
          </w:p>
        </w:tc>
        <w:tc>
          <w:tcPr>
            <w:tcW w:w="2060" w:type="dxa"/>
            <w:vAlign w:val="bottom"/>
            <w:tcBorders>
              <w:right w:val="single" w:sz="8" w:color="auto"/>
            </w:tcBorders>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Borders>
              <w:right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0" w:type="dxa"/>
            <w:vAlign w:val="bottom"/>
            <w:tcBorders>
              <w:left w:val="single" w:sz="8" w:color="auto"/>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80" w:type="dxa"/>
            <w:vAlign w:val="bottom"/>
            <w:tcBorders>
              <w:bottom w:val="single" w:sz="8" w:color="auto"/>
              <w:right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Verdana" w:cs="Verdana" w:eastAsia="Verdana" w:hAnsi="Verdana"/>
          <w:sz w:val="18"/>
          <w:szCs w:val="18"/>
          <w:color w:val="auto"/>
        </w:rPr>
        <w:t>18.11</w:t>
      </w:r>
    </w:p>
    <w:p>
      <w:pPr>
        <w:spacing w:after="0" w:line="186" w:lineRule="exact"/>
        <w:rPr>
          <w:sz w:val="20"/>
          <w:szCs w:val="20"/>
          <w:color w:val="auto"/>
        </w:rPr>
      </w:pPr>
    </w:p>
    <w:p>
      <w:pPr>
        <w:ind w:left="660" w:hanging="647"/>
        <w:spacing w:after="0" w:line="299" w:lineRule="auto"/>
        <w:rPr>
          <w:sz w:val="20"/>
          <w:szCs w:val="20"/>
          <w:color w:val="auto"/>
        </w:rPr>
      </w:pPr>
      <w:r>
        <w:rPr>
          <w:rFonts w:ascii="Verdana" w:cs="Verdana" w:eastAsia="Verdana" w:hAnsi="Verdana"/>
          <w:sz w:val="18"/>
          <w:szCs w:val="18"/>
          <w:color w:val="auto"/>
        </w:rPr>
        <w:t>18.12 The construction, interpretation and performance of this Agreement will be governed by the laws of England to the exclusive jurisdiction of whose courts the parties agree to submit.</w:t>
      </w:r>
    </w:p>
    <w:p>
      <w:pPr>
        <w:spacing w:after="0" w:line="143" w:lineRule="exact"/>
        <w:rPr>
          <w:sz w:val="20"/>
          <w:szCs w:val="20"/>
          <w:color w:val="auto"/>
        </w:rPr>
      </w:pPr>
    </w:p>
    <w:p>
      <w:pPr>
        <w:ind w:left="660"/>
        <w:spacing w:after="0" w:line="328" w:lineRule="auto"/>
        <w:rPr>
          <w:sz w:val="20"/>
          <w:szCs w:val="20"/>
          <w:color w:val="auto"/>
        </w:rPr>
      </w:pPr>
      <w:r>
        <w:rPr>
          <w:rFonts w:ascii="Verdana" w:cs="Verdana" w:eastAsia="Verdana" w:hAnsi="Verdana"/>
          <w:sz w:val="18"/>
          <w:szCs w:val="18"/>
          <w:color w:val="auto"/>
        </w:rPr>
        <w:t>The attached copy of this Agreement should be signed, dated and returned to the Company (together with the certificate, which forms part of this Agreement) to signify the Employee’s agreement to its terms.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SIGNED </w:t>
      </w:r>
      <w:r>
        <w:rPr>
          <w:rFonts w:ascii="Verdana" w:cs="Verdana" w:eastAsia="Verdana" w:hAnsi="Verdana"/>
          <w:sz w:val="18"/>
          <w:szCs w:val="18"/>
          <w:color w:val="auto"/>
        </w:rPr>
        <w:t>for and on behalf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Verdana" w:cs="Verdana" w:eastAsia="Verdana" w:hAnsi="Verdana"/>
          <w:sz w:val="18"/>
          <w:szCs w:val="18"/>
          <w:color w:val="auto"/>
        </w:rPr>
        <w:t>)</w:t>
      </w:r>
    </w:p>
    <w:p>
      <w:pPr>
        <w:spacing w:after="0" w:line="65" w:lineRule="exact"/>
        <w:rPr>
          <w:sz w:val="20"/>
          <w:szCs w:val="20"/>
          <w:color w:val="auto"/>
        </w:rPr>
      </w:pPr>
    </w:p>
    <w:p>
      <w:pPr>
        <w:sectPr>
          <w:pgSz w:w="11900" w:h="16838" w:orient="portrait"/>
          <w:cols w:equalWidth="0" w:num="2">
            <w:col w:w="2420" w:space="240"/>
            <w:col w:w="8580"/>
          </w:cols>
          <w:pgMar w:left="320" w:top="1440" w:right="339" w:bottom="1440" w:gutter="0" w:footer="0" w:header="0"/>
          <w:type w:val="continuous"/>
        </w:sectPr>
      </w:pPr>
    </w:p>
    <w:p>
      <w:pPr>
        <w:spacing w:after="0"/>
        <w:rPr>
          <w:sz w:val="20"/>
          <w:szCs w:val="20"/>
          <w:color w:val="auto"/>
        </w:rPr>
      </w:pPr>
      <w:r>
        <w:rPr>
          <w:rFonts w:ascii="Verdana" w:cs="Verdana" w:eastAsia="Verdana" w:hAnsi="Verdana"/>
          <w:sz w:val="18"/>
          <w:szCs w:val="18"/>
          <w:color w:val="auto"/>
        </w:rPr>
        <w:t>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7"/>
          <w:szCs w:val="17"/>
          <w:b w:val="1"/>
          <w:bCs w:val="1"/>
          <w:color w:val="auto"/>
        </w:rPr>
        <w:t>FLUTTER SERVICES UK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Verdana" w:cs="Verdana" w:eastAsia="Verdana" w:hAnsi="Verdana"/>
          <w:sz w:val="17"/>
          <w:szCs w:val="17"/>
          <w:color w:val="auto"/>
        </w:rPr>
        <w:t>) /s/ Peter Jackson</w:t>
      </w:r>
    </w:p>
    <w:p>
      <w:pPr>
        <w:spacing w:after="0" w:line="212" w:lineRule="exact"/>
        <w:rPr>
          <w:sz w:val="20"/>
          <w:szCs w:val="20"/>
          <w:color w:val="auto"/>
        </w:rPr>
      </w:pPr>
    </w:p>
    <w:p>
      <w:pPr>
        <w:sectPr>
          <w:pgSz w:w="11900" w:h="16838" w:orient="portrait"/>
          <w:cols w:equalWidth="0" w:num="3">
            <w:col w:w="180" w:space="60"/>
            <w:col w:w="3240" w:space="260"/>
            <w:col w:w="7500"/>
          </w:cols>
          <w:pgMar w:left="320" w:top="1440" w:right="339" w:bottom="1440" w:gutter="0" w:footer="0" w:header="0"/>
          <w:type w:val="continuous"/>
        </w:sectPr>
      </w:pPr>
    </w:p>
    <w:p>
      <w:pPr>
        <w:spacing w:after="0" w:line="31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 xml:space="preserve">SIGNED </w:t>
      </w:r>
      <w:r>
        <w:rPr>
          <w:rFonts w:ascii="Verdana" w:cs="Verdana" w:eastAsia="Verdana" w:hAnsi="Verdana"/>
          <w:sz w:val="18"/>
          <w:szCs w:val="18"/>
          <w:color w:val="auto"/>
        </w:rPr>
        <w:t>by</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JEREMY PETER JACKSON</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Verdana" w:cs="Verdana" w:eastAsia="Verdana" w:hAnsi="Verdana"/>
          <w:sz w:val="17"/>
          <w:szCs w:val="17"/>
          <w:color w:val="auto"/>
        </w:rPr>
        <w:t>)</w:t>
      </w:r>
    </w:p>
    <w:p>
      <w:pPr>
        <w:spacing w:after="0" w:line="212" w:lineRule="exact"/>
        <w:rPr>
          <w:sz w:val="20"/>
          <w:szCs w:val="20"/>
          <w:color w:val="auto"/>
        </w:rPr>
      </w:pPr>
    </w:p>
    <w:p>
      <w:pPr>
        <w:sectPr>
          <w:pgSz w:w="11900" w:h="16838" w:orient="portrait"/>
          <w:cols w:equalWidth="0" w:num="3">
            <w:col w:w="1080" w:space="60"/>
            <w:col w:w="2500" w:space="260"/>
            <w:col w:w="73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Verdana" w:cs="Verdana" w:eastAsia="Verdana" w:hAnsi="Verdana"/>
          <w:sz w:val="13"/>
          <w:szCs w:val="13"/>
          <w:color w:val="auto"/>
        </w:rPr>
        <w:t>15ï2</w:t>
      </w:r>
    </w:p>
    <w:p>
      <w:pPr>
        <w:spacing w:after="0" w:line="126" w:lineRule="exact"/>
        <w:rPr>
          <w:sz w:val="20"/>
          <w:szCs w:val="20"/>
          <w:color w:val="auto"/>
        </w:rPr>
      </w:pPr>
    </w:p>
    <w:p>
      <w:pPr>
        <w:ind w:left="20"/>
        <w:spacing w:after="0"/>
        <w:rPr>
          <w:sz w:val="20"/>
          <w:szCs w:val="20"/>
          <w:color w:val="auto"/>
        </w:rPr>
      </w:pPr>
      <w:r>
        <w:rPr>
          <w:rFonts w:ascii="Verdana" w:cs="Verdana" w:eastAsia="Verdana" w:hAnsi="Verdana"/>
          <w:sz w:val="12"/>
          <w:szCs w:val="12"/>
          <w:color w:val="auto"/>
        </w:rPr>
        <w:t>EUROPE-LEGAL-255189342/31 EPB-000180</w:t>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line="3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439420</wp:posOffset>
            </wp:positionH>
            <wp:positionV relativeFrom="page">
              <wp:posOffset>1066165</wp:posOffset>
            </wp:positionV>
            <wp:extent cx="6677660" cy="31292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677660" cy="3129280"/>
                    </a:xfrm>
                    <a:prstGeom prst="rect">
                      <a:avLst/>
                    </a:prstGeom>
                    <a:noFill/>
                  </pic:spPr>
                </pic:pic>
              </a:graphicData>
            </a:graphic>
          </wp:anchor>
        </w:drawing>
      </w:r>
    </w:p>
    <w:p>
      <w:pPr>
        <w:ind w:left="440"/>
        <w:spacing w:after="0"/>
        <w:rPr>
          <w:sz w:val="20"/>
          <w:szCs w:val="20"/>
          <w:color w:val="auto"/>
        </w:rPr>
      </w:pPr>
      <w:r>
        <w:rPr>
          <w:rFonts w:ascii="Verdana" w:cs="Verdana" w:eastAsia="Verdana" w:hAnsi="Verdana"/>
          <w:sz w:val="18"/>
          <w:szCs w:val="18"/>
          <w:b w:val="1"/>
          <w:bCs w:val="1"/>
          <w:color w:val="auto"/>
        </w:rPr>
        <w:t>LEGAL ADVISER’S CERTIFICATE</w:t>
      </w:r>
    </w:p>
    <w:p>
      <w:pPr>
        <w:spacing w:after="0" w:line="186" w:lineRule="exact"/>
        <w:rPr>
          <w:sz w:val="20"/>
          <w:szCs w:val="20"/>
          <w:color w:val="auto"/>
        </w:rPr>
      </w:pPr>
    </w:p>
    <w:p>
      <w:pPr>
        <w:ind w:left="440"/>
        <w:spacing w:after="0"/>
        <w:rPr>
          <w:sz w:val="20"/>
          <w:szCs w:val="20"/>
          <w:color w:val="auto"/>
        </w:rPr>
      </w:pPr>
      <w:r>
        <w:rPr>
          <w:rFonts w:ascii="Verdana" w:cs="Verdana" w:eastAsia="Verdana" w:hAnsi="Verdana"/>
          <w:sz w:val="18"/>
          <w:szCs w:val="18"/>
          <w:color w:val="auto"/>
        </w:rPr>
        <w:t>I, Hayley Robinson hereby certify to Flutter Services UK Limited that:</w:t>
      </w:r>
    </w:p>
    <w:p>
      <w:pPr>
        <w:spacing w:after="0" w:line="200" w:lineRule="exact"/>
        <w:rPr>
          <w:sz w:val="20"/>
          <w:szCs w:val="20"/>
          <w:color w:val="auto"/>
        </w:rPr>
      </w:pPr>
    </w:p>
    <w:p>
      <w:pPr>
        <w:ind w:left="1080" w:right="360" w:hanging="646"/>
        <w:spacing w:after="0" w:line="254" w:lineRule="auto"/>
        <w:tabs>
          <w:tab w:leader="none" w:pos="956" w:val="left"/>
        </w:tabs>
        <w:numPr>
          <w:ilvl w:val="0"/>
          <w:numId w:val="64"/>
        </w:numPr>
        <w:rPr>
          <w:rFonts w:ascii="Verdana" w:cs="Verdana" w:eastAsia="Verdana" w:hAnsi="Verdana"/>
          <w:sz w:val="18"/>
          <w:szCs w:val="18"/>
          <w:color w:val="auto"/>
        </w:rPr>
      </w:pPr>
      <w:r>
        <w:rPr>
          <w:rFonts w:ascii="Verdana" w:cs="Verdana" w:eastAsia="Verdana" w:hAnsi="Verdana"/>
          <w:sz w:val="18"/>
          <w:szCs w:val="18"/>
          <w:color w:val="auto"/>
        </w:rPr>
        <w:t>I am a relevant independent adviser (as defined by Section 203 of the Employment Rights Act 1996 and Section 147 of the Equality Act 2010);</w:t>
      </w:r>
    </w:p>
    <w:p>
      <w:pPr>
        <w:spacing w:after="0" w:line="184" w:lineRule="exact"/>
        <w:rPr>
          <w:rFonts w:ascii="Verdana" w:cs="Verdana" w:eastAsia="Verdana" w:hAnsi="Verdana"/>
          <w:sz w:val="18"/>
          <w:szCs w:val="18"/>
          <w:color w:val="auto"/>
        </w:rPr>
      </w:pPr>
    </w:p>
    <w:p>
      <w:pPr>
        <w:ind w:left="1080" w:right="340" w:hanging="646"/>
        <w:spacing w:after="0" w:line="254" w:lineRule="auto"/>
        <w:tabs>
          <w:tab w:leader="none" w:pos="960" w:val="left"/>
        </w:tabs>
        <w:numPr>
          <w:ilvl w:val="0"/>
          <w:numId w:val="64"/>
        </w:numPr>
        <w:rPr>
          <w:rFonts w:ascii="Verdana" w:cs="Verdana" w:eastAsia="Verdana" w:hAnsi="Verdana"/>
          <w:sz w:val="18"/>
          <w:szCs w:val="18"/>
          <w:color w:val="auto"/>
        </w:rPr>
      </w:pPr>
      <w:r>
        <w:rPr>
          <w:rFonts w:ascii="Verdana" w:cs="Verdana" w:eastAsia="Verdana" w:hAnsi="Verdana"/>
          <w:sz w:val="18"/>
          <w:szCs w:val="18"/>
          <w:color w:val="auto"/>
        </w:rPr>
        <w:t>I have given independent legal advice to Jeremy Peter Jackson as to the terms of this agreement and its effect on his ability to pursue his rights before an employment tribunal;</w:t>
      </w:r>
    </w:p>
    <w:p>
      <w:pPr>
        <w:spacing w:after="0" w:line="211" w:lineRule="exact"/>
        <w:rPr>
          <w:rFonts w:ascii="Verdana" w:cs="Verdana" w:eastAsia="Verdana" w:hAnsi="Verdana"/>
          <w:sz w:val="18"/>
          <w:szCs w:val="18"/>
          <w:color w:val="auto"/>
        </w:rPr>
      </w:pPr>
    </w:p>
    <w:p>
      <w:pPr>
        <w:ind w:left="1080" w:hanging="646"/>
        <w:spacing w:after="0" w:line="327" w:lineRule="auto"/>
        <w:tabs>
          <w:tab w:leader="none" w:pos="980" w:val="left"/>
        </w:tabs>
        <w:numPr>
          <w:ilvl w:val="0"/>
          <w:numId w:val="64"/>
        </w:numPr>
        <w:rPr>
          <w:rFonts w:ascii="Verdana" w:cs="Verdana" w:eastAsia="Verdana" w:hAnsi="Verdana"/>
          <w:sz w:val="18"/>
          <w:szCs w:val="18"/>
          <w:color w:val="auto"/>
        </w:rPr>
      </w:pPr>
      <w:r>
        <w:rPr>
          <w:rFonts w:ascii="Verdana" w:cs="Verdana" w:eastAsia="Verdana" w:hAnsi="Verdana"/>
          <w:sz w:val="18"/>
          <w:szCs w:val="18"/>
          <w:color w:val="auto"/>
        </w:rPr>
        <w:t>at all times when such independent legal advice was given, either I or Macfarlanes LLP, the firm in which I am a partner had in force a policy of insurance covering the risk of a claim by Jeremy Peter Jackson in respect of loss arising in consequence of such advice.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20"/>
        <w:spacing w:after="0"/>
        <w:tabs>
          <w:tab w:leader="none" w:pos="2860" w:val="left"/>
          <w:tab w:leader="none" w:pos="3620" w:val="left"/>
        </w:tabs>
        <w:rPr>
          <w:sz w:val="20"/>
          <w:szCs w:val="20"/>
          <w:color w:val="auto"/>
        </w:rPr>
      </w:pPr>
      <w:r>
        <w:rPr>
          <w:rFonts w:ascii="Verdana" w:cs="Verdana" w:eastAsia="Verdana" w:hAnsi="Verdana"/>
          <w:sz w:val="18"/>
          <w:szCs w:val="18"/>
          <w:u w:val="single" w:color="auto"/>
          <w:color w:val="auto"/>
        </w:rPr>
        <w:t>/s/ Haley Robinson</w:t>
      </w:r>
      <w:r>
        <w:rPr>
          <w:sz w:val="20"/>
          <w:szCs w:val="20"/>
          <w:color w:val="auto"/>
        </w:rPr>
        <w:tab/>
      </w:r>
      <w:r>
        <w:rPr>
          <w:rFonts w:ascii="Verdana" w:cs="Verdana" w:eastAsia="Verdana" w:hAnsi="Verdana"/>
          <w:sz w:val="18"/>
          <w:szCs w:val="18"/>
          <w:color w:val="auto"/>
        </w:rPr>
        <w:t>Date:</w:t>
        <w:tab/>
        <w:t>04.08.2026</w:t>
      </w:r>
    </w:p>
    <w:p>
      <w:pPr>
        <w:spacing w:after="0" w:line="240" w:lineRule="exact"/>
        <w:rPr>
          <w:sz w:val="20"/>
          <w:szCs w:val="20"/>
          <w:color w:val="auto"/>
        </w:rPr>
      </w:pPr>
    </w:p>
    <w:p>
      <w:pPr>
        <w:ind w:left="880"/>
        <w:spacing w:after="0"/>
        <w:rPr>
          <w:sz w:val="20"/>
          <w:szCs w:val="20"/>
          <w:color w:val="auto"/>
        </w:rPr>
      </w:pPr>
      <w:r>
        <w:rPr>
          <w:rFonts w:ascii="Verdana" w:cs="Verdana" w:eastAsia="Verdana" w:hAnsi="Verdana"/>
          <w:sz w:val="18"/>
          <w:szCs w:val="18"/>
          <w:color w:val="auto"/>
        </w:rPr>
        <w:t>Hayley Robinson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0"/>
        <w:spacing w:after="0"/>
        <w:rPr>
          <w:sz w:val="20"/>
          <w:szCs w:val="20"/>
          <w:color w:val="auto"/>
        </w:rPr>
      </w:pPr>
      <w:r>
        <w:rPr>
          <w:rFonts w:ascii="Verdana" w:cs="Verdana" w:eastAsia="Verdana" w:hAnsi="Verdana"/>
          <w:sz w:val="13"/>
          <w:szCs w:val="13"/>
          <w:color w:val="auto"/>
        </w:rPr>
        <w:t>16ï2</w:t>
      </w:r>
    </w:p>
    <w:p>
      <w:pPr>
        <w:spacing w:after="0" w:line="126" w:lineRule="exact"/>
        <w:rPr>
          <w:sz w:val="20"/>
          <w:szCs w:val="20"/>
          <w:color w:val="auto"/>
        </w:rPr>
      </w:pPr>
    </w:p>
    <w:p>
      <w:pPr>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0780"/>
          </w:cols>
          <w:pgMar w:left="340" w:top="1440" w:right="77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60"/>
        <w:spacing w:after="0"/>
        <w:rPr>
          <w:sz w:val="20"/>
          <w:szCs w:val="20"/>
          <w:color w:val="auto"/>
        </w:rPr>
      </w:pPr>
      <w:r>
        <w:rPr>
          <w:rFonts w:ascii="Verdana" w:cs="Verdana" w:eastAsia="Verdana" w:hAnsi="Verdana"/>
          <w:sz w:val="13"/>
          <w:szCs w:val="13"/>
          <w:color w:val="auto"/>
        </w:rPr>
        <w:t>17ï2</w:t>
      </w:r>
    </w:p>
    <w:p>
      <w:pPr>
        <w:spacing w:after="0" w:line="112" w:lineRule="exact"/>
        <w:rPr>
          <w:sz w:val="20"/>
          <w:szCs w:val="20"/>
          <w:color w:val="auto"/>
        </w:rPr>
      </w:pPr>
    </w:p>
    <w:p>
      <w:pPr>
        <w:spacing w:after="0"/>
        <w:rPr>
          <w:sz w:val="20"/>
          <w:szCs w:val="20"/>
          <w:color w:val="auto"/>
        </w:rPr>
      </w:pPr>
      <w:r>
        <w:rPr>
          <w:rFonts w:ascii="Verdana" w:cs="Verdana" w:eastAsia="Verdana" w:hAnsi="Verdana"/>
          <w:sz w:val="12"/>
          <w:szCs w:val="12"/>
          <w:color w:val="auto"/>
        </w:rPr>
        <w:t>EUROPE-LEGAL-255189342/31 EPB-000180</w:t>
      </w:r>
    </w:p>
    <w:p>
      <w:pPr>
        <w:sectPr>
          <w:pgSz w:w="11900" w:h="16838" w:orient="portrait"/>
          <w:cols w:equalWidth="0" w:num="1">
            <w:col w:w="10119"/>
          </w:cols>
          <w:pgMar w:left="340" w:top="1440" w:right="1440" w:bottom="1440" w:gutter="0" w:footer="0" w:header="0"/>
        </w:sectPr>
      </w:pPr>
    </w:p>
    <w:bookmarkStart w:id="85" w:name="page86"/>
    <w:bookmarkEnd w:id="85"/>
    <w:p>
      <w:pPr>
        <w:jc w:val="right"/>
        <w:spacing w:after="0"/>
        <w:rPr>
          <w:sz w:val="20"/>
          <w:szCs w:val="20"/>
          <w:color w:val="auto"/>
        </w:rPr>
      </w:pPr>
      <w:r>
        <w:rPr>
          <w:rFonts w:ascii="Verdana" w:cs="Verdana" w:eastAsia="Verdana" w:hAnsi="Verdana"/>
          <w:sz w:val="13"/>
          <w:szCs w:val="13"/>
          <w:color w:val="auto"/>
        </w:rPr>
        <w:t>WITHOUT PREJUDICE AND SUBJECT TO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00"/>
        <w:spacing w:after="0"/>
        <w:rPr>
          <w:sz w:val="20"/>
          <w:szCs w:val="20"/>
          <w:color w:val="auto"/>
        </w:rPr>
      </w:pPr>
      <w:r>
        <w:rPr>
          <w:rFonts w:ascii="Verdana" w:cs="Verdana" w:eastAsia="Verdana" w:hAnsi="Verdana"/>
          <w:sz w:val="18"/>
          <w:szCs w:val="18"/>
          <w:b w:val="1"/>
          <w:bCs w:val="1"/>
          <w:color w:val="auto"/>
        </w:rPr>
        <w:t>SCHEDULE 5</w:t>
      </w:r>
    </w:p>
    <w:p>
      <w:pPr>
        <w:spacing w:after="0" w:line="240" w:lineRule="exact"/>
        <w:rPr>
          <w:sz w:val="20"/>
          <w:szCs w:val="20"/>
          <w:color w:val="auto"/>
        </w:rPr>
      </w:pPr>
    </w:p>
    <w:p>
      <w:pPr>
        <w:ind w:left="2020"/>
        <w:spacing w:after="0"/>
        <w:rPr>
          <w:sz w:val="20"/>
          <w:szCs w:val="20"/>
          <w:color w:val="auto"/>
        </w:rPr>
      </w:pPr>
      <w:r>
        <w:rPr>
          <w:rFonts w:ascii="Verdana" w:cs="Verdana" w:eastAsia="Verdana" w:hAnsi="Verdana"/>
          <w:sz w:val="18"/>
          <w:szCs w:val="18"/>
          <w:b w:val="1"/>
          <w:bCs w:val="1"/>
          <w:color w:val="auto"/>
        </w:rPr>
        <w:t>Summary of treatment of unvested share awards</w:t>
      </w:r>
    </w:p>
    <w:p>
      <w:pPr>
        <w:sectPr>
          <w:pgSz w:w="11900" w:h="16838" w:orient="portrait"/>
          <w:cols w:equalWidth="0" w:num="1">
            <w:col w:w="10120"/>
          </w:cols>
          <w:pgMar w:left="1440" w:top="202" w:right="339" w:bottom="1440" w:gutter="0" w:footer="0" w:header="0"/>
        </w:sectPr>
      </w:pPr>
    </w:p>
    <w:bookmarkStart w:id="86" w:name="page87"/>
    <w:bookmarkEnd w:id="86"/>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1180" w:type="dxa"/>
            <w:vAlign w:val="bottom"/>
            <w:tcBorders>
              <w:top w:val="single" w:sz="8" w:color="auto"/>
              <w:left w:val="single" w:sz="8" w:color="auto"/>
              <w:right w:val="single" w:sz="8" w:color="auto"/>
            </w:tcBorders>
          </w:tcPr>
          <w:p>
            <w:pPr>
              <w:jc w:val="center"/>
              <w:spacing w:after="0" w:line="176" w:lineRule="exact"/>
              <w:rPr>
                <w:sz w:val="20"/>
                <w:szCs w:val="20"/>
                <w:color w:val="auto"/>
              </w:rPr>
            </w:pPr>
            <w:r>
              <w:rPr>
                <w:rFonts w:ascii="Verdana" w:cs="Verdana" w:eastAsia="Verdana" w:hAnsi="Verdana"/>
                <w:sz w:val="16"/>
                <w:szCs w:val="16"/>
                <w:b w:val="1"/>
                <w:bCs w:val="1"/>
                <w:color w:val="auto"/>
                <w:w w:val="99"/>
              </w:rPr>
              <w:t>Award</w:t>
            </w:r>
          </w:p>
        </w:tc>
        <w:tc>
          <w:tcPr>
            <w:tcW w:w="1120" w:type="dxa"/>
            <w:vAlign w:val="bottom"/>
            <w:tcBorders>
              <w:top w:val="single" w:sz="8" w:color="auto"/>
              <w:right w:val="single" w:sz="8" w:color="auto"/>
            </w:tcBorders>
          </w:tcPr>
          <w:p>
            <w:pPr>
              <w:jc w:val="center"/>
              <w:spacing w:after="0" w:line="176" w:lineRule="exact"/>
              <w:rPr>
                <w:sz w:val="20"/>
                <w:szCs w:val="20"/>
                <w:color w:val="auto"/>
              </w:rPr>
            </w:pPr>
            <w:r>
              <w:rPr>
                <w:rFonts w:ascii="Verdana" w:cs="Verdana" w:eastAsia="Verdana" w:hAnsi="Verdana"/>
                <w:sz w:val="16"/>
                <w:szCs w:val="16"/>
                <w:b w:val="1"/>
                <w:bCs w:val="1"/>
                <w:color w:val="auto"/>
              </w:rPr>
              <w:t>Number of</w:t>
            </w:r>
          </w:p>
        </w:tc>
        <w:tc>
          <w:tcPr>
            <w:tcW w:w="960" w:type="dxa"/>
            <w:vAlign w:val="bottom"/>
            <w:tcBorders>
              <w:top w:val="single" w:sz="8" w:color="auto"/>
              <w:right w:val="single" w:sz="8" w:color="auto"/>
            </w:tcBorders>
          </w:tcPr>
          <w:p>
            <w:pPr>
              <w:jc w:val="center"/>
              <w:spacing w:after="0" w:line="176" w:lineRule="exact"/>
              <w:rPr>
                <w:sz w:val="20"/>
                <w:szCs w:val="20"/>
                <w:color w:val="auto"/>
              </w:rPr>
            </w:pPr>
            <w:r>
              <w:rPr>
                <w:rFonts w:ascii="Verdana" w:cs="Verdana" w:eastAsia="Verdana" w:hAnsi="Verdana"/>
                <w:sz w:val="16"/>
                <w:szCs w:val="16"/>
                <w:b w:val="1"/>
                <w:bCs w:val="1"/>
                <w:color w:val="auto"/>
                <w:w w:val="99"/>
              </w:rPr>
              <w:t>Grant</w:t>
            </w:r>
          </w:p>
        </w:tc>
        <w:tc>
          <w:tcPr>
            <w:tcW w:w="1140" w:type="dxa"/>
            <w:vAlign w:val="bottom"/>
            <w:tcBorders>
              <w:top w:val="single" w:sz="8" w:color="auto"/>
              <w:right w:val="single" w:sz="8" w:color="auto"/>
            </w:tcBorders>
          </w:tcPr>
          <w:p>
            <w:pPr>
              <w:jc w:val="center"/>
              <w:spacing w:after="0" w:line="176" w:lineRule="exact"/>
              <w:rPr>
                <w:sz w:val="20"/>
                <w:szCs w:val="20"/>
                <w:color w:val="auto"/>
              </w:rPr>
            </w:pPr>
            <w:r>
              <w:rPr>
                <w:rFonts w:ascii="Verdana" w:cs="Verdana" w:eastAsia="Verdana" w:hAnsi="Verdana"/>
                <w:sz w:val="16"/>
                <w:szCs w:val="16"/>
                <w:b w:val="1"/>
                <w:bCs w:val="1"/>
                <w:color w:val="auto"/>
              </w:rPr>
              <w:t>Original</w:t>
            </w:r>
          </w:p>
        </w:tc>
        <w:tc>
          <w:tcPr>
            <w:tcW w:w="2240" w:type="dxa"/>
            <w:vAlign w:val="bottom"/>
            <w:tcBorders>
              <w:top w:val="single" w:sz="8" w:color="auto"/>
              <w:right w:val="single" w:sz="8" w:color="auto"/>
            </w:tcBorders>
          </w:tcPr>
          <w:p>
            <w:pPr>
              <w:jc w:val="center"/>
              <w:spacing w:after="0" w:line="176" w:lineRule="exact"/>
              <w:rPr>
                <w:sz w:val="20"/>
                <w:szCs w:val="20"/>
                <w:color w:val="auto"/>
              </w:rPr>
            </w:pPr>
            <w:r>
              <w:rPr>
                <w:rFonts w:ascii="Verdana" w:cs="Verdana" w:eastAsia="Verdana" w:hAnsi="Verdana"/>
                <w:sz w:val="16"/>
                <w:szCs w:val="16"/>
                <w:b w:val="1"/>
                <w:bCs w:val="1"/>
                <w:color w:val="auto"/>
              </w:rPr>
              <w:t>Treatment</w:t>
            </w:r>
          </w:p>
        </w:tc>
        <w:tc>
          <w:tcPr>
            <w:tcW w:w="1300" w:type="dxa"/>
            <w:vAlign w:val="bottom"/>
            <w:tcBorders>
              <w:top w:val="single" w:sz="8" w:color="auto"/>
              <w:right w:val="single" w:sz="8" w:color="auto"/>
            </w:tcBorders>
          </w:tcPr>
          <w:p>
            <w:pPr>
              <w:jc w:val="center"/>
              <w:spacing w:after="0" w:line="176" w:lineRule="exact"/>
              <w:rPr>
                <w:sz w:val="20"/>
                <w:szCs w:val="20"/>
                <w:color w:val="auto"/>
              </w:rPr>
            </w:pPr>
            <w:r>
              <w:rPr>
                <w:rFonts w:ascii="Verdana" w:cs="Verdana" w:eastAsia="Verdana" w:hAnsi="Verdana"/>
                <w:sz w:val="16"/>
                <w:szCs w:val="16"/>
                <w:b w:val="1"/>
                <w:bCs w:val="1"/>
                <w:color w:val="auto"/>
              </w:rPr>
              <w:t>Number of</w:t>
            </w:r>
          </w:p>
        </w:tc>
        <w:tc>
          <w:tcPr>
            <w:tcW w:w="1380" w:type="dxa"/>
            <w:vAlign w:val="bottom"/>
            <w:tcBorders>
              <w:top w:val="single" w:sz="8" w:color="auto"/>
              <w:right w:val="single" w:sz="8" w:color="auto"/>
            </w:tcBorders>
          </w:tcPr>
          <w:p>
            <w:pPr>
              <w:jc w:val="center"/>
              <w:spacing w:after="0" w:line="176" w:lineRule="exact"/>
              <w:rPr>
                <w:sz w:val="20"/>
                <w:szCs w:val="20"/>
                <w:color w:val="auto"/>
              </w:rPr>
            </w:pPr>
            <w:r>
              <w:rPr>
                <w:rFonts w:ascii="Verdana" w:cs="Verdana" w:eastAsia="Verdana" w:hAnsi="Verdana"/>
                <w:sz w:val="16"/>
                <w:szCs w:val="16"/>
                <w:b w:val="1"/>
                <w:bCs w:val="1"/>
                <w:color w:val="auto"/>
              </w:rPr>
              <w:t>Subject to</w:t>
            </w:r>
          </w:p>
        </w:tc>
        <w:tc>
          <w:tcPr>
            <w:tcW w:w="1940" w:type="dxa"/>
            <w:vAlign w:val="bottom"/>
            <w:tcBorders>
              <w:top w:val="single" w:sz="8" w:color="auto"/>
              <w:right w:val="single" w:sz="8" w:color="auto"/>
            </w:tcBorders>
          </w:tcPr>
          <w:p>
            <w:pPr>
              <w:jc w:val="center"/>
              <w:spacing w:after="0" w:line="176" w:lineRule="exact"/>
              <w:rPr>
                <w:sz w:val="20"/>
                <w:szCs w:val="20"/>
                <w:color w:val="auto"/>
              </w:rPr>
            </w:pPr>
            <w:r>
              <w:rPr>
                <w:rFonts w:ascii="Verdana" w:cs="Verdana" w:eastAsia="Verdana" w:hAnsi="Verdana"/>
                <w:sz w:val="16"/>
                <w:szCs w:val="16"/>
                <w:b w:val="1"/>
                <w:bCs w:val="1"/>
                <w:color w:val="auto"/>
              </w:rPr>
              <w:t>Anticipated</w:t>
            </w:r>
          </w:p>
        </w:tc>
      </w:tr>
      <w:tr>
        <w:trPr>
          <w:trHeight w:val="162"/>
        </w:trPr>
        <w:tc>
          <w:tcPr>
            <w:tcW w:w="1180" w:type="dxa"/>
            <w:vAlign w:val="bottom"/>
            <w:tcBorders>
              <w:left w:val="single" w:sz="8" w:color="auto"/>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Shares</w:t>
            </w:r>
          </w:p>
        </w:tc>
        <w:tc>
          <w:tcPr>
            <w:tcW w:w="96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date</w:t>
            </w:r>
          </w:p>
        </w:tc>
        <w:tc>
          <w:tcPr>
            <w:tcW w:w="114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Vesting</w:t>
            </w:r>
          </w:p>
        </w:tc>
        <w:tc>
          <w:tcPr>
            <w:tcW w:w="22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Shares</w:t>
            </w:r>
          </w:p>
        </w:tc>
        <w:tc>
          <w:tcPr>
            <w:tcW w:w="138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Performance</w:t>
            </w:r>
          </w:p>
        </w:tc>
        <w:tc>
          <w:tcPr>
            <w:tcW w:w="194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3"/>
                <w:szCs w:val="13"/>
                <w:b w:val="1"/>
                <w:bCs w:val="1"/>
                <w:color w:val="auto"/>
              </w:rPr>
              <w:t>settlement date</w:t>
            </w:r>
            <w:r>
              <w:rPr>
                <w:rFonts w:ascii="Verdana" w:cs="Verdana" w:eastAsia="Verdana" w:hAnsi="Verdana"/>
                <w:sz w:val="17"/>
                <w:szCs w:val="17"/>
                <w:b w:val="1"/>
                <w:bCs w:val="1"/>
                <w:color w:val="auto"/>
                <w:vertAlign w:val="superscript"/>
              </w:rPr>
              <w:t>1</w:t>
            </w:r>
          </w:p>
        </w:tc>
      </w:tr>
      <w:tr>
        <w:trPr>
          <w:trHeight w:val="162"/>
        </w:trPr>
        <w:tc>
          <w:tcPr>
            <w:tcW w:w="1180" w:type="dxa"/>
            <w:vAlign w:val="bottom"/>
            <w:tcBorders>
              <w:left w:val="single" w:sz="8" w:color="auto"/>
              <w:right w:val="single" w:sz="8" w:color="auto"/>
            </w:tcBorders>
          </w:tcPr>
          <w:p>
            <w:pPr>
              <w:spacing w:after="0"/>
              <w:rPr>
                <w:sz w:val="14"/>
                <w:szCs w:val="14"/>
                <w:color w:val="auto"/>
              </w:rPr>
            </w:pPr>
          </w:p>
        </w:tc>
        <w:tc>
          <w:tcPr>
            <w:tcW w:w="112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Granted</w:t>
            </w:r>
          </w:p>
        </w:tc>
        <w:tc>
          <w:tcPr>
            <w:tcW w:w="9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Date</w:t>
            </w:r>
          </w:p>
        </w:tc>
        <w:tc>
          <w:tcPr>
            <w:tcW w:w="22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Retained</w:t>
            </w:r>
          </w:p>
        </w:tc>
        <w:tc>
          <w:tcPr>
            <w:tcW w:w="138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Conditions</w:t>
            </w:r>
          </w:p>
        </w:tc>
        <w:tc>
          <w:tcPr>
            <w:tcW w:w="1940" w:type="dxa"/>
            <w:vAlign w:val="bottom"/>
            <w:tcBorders>
              <w:right w:val="single" w:sz="8" w:color="auto"/>
            </w:tcBorders>
          </w:tcPr>
          <w:p>
            <w:pPr>
              <w:spacing w:after="0"/>
              <w:rPr>
                <w:sz w:val="14"/>
                <w:szCs w:val="14"/>
                <w:color w:val="auto"/>
              </w:rPr>
            </w:pPr>
          </w:p>
        </w:tc>
      </w:tr>
      <w:tr>
        <w:trPr>
          <w:trHeight w:val="162"/>
        </w:trPr>
        <w:tc>
          <w:tcPr>
            <w:tcW w:w="1180" w:type="dxa"/>
            <w:vAlign w:val="bottom"/>
            <w:tcBorders>
              <w:left w:val="single" w:sz="8" w:color="auto"/>
              <w:right w:val="single" w:sz="8" w:color="auto"/>
            </w:tcBorders>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224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jc w:val="center"/>
              <w:spacing w:after="0" w:line="162" w:lineRule="exact"/>
              <w:rPr>
                <w:sz w:val="20"/>
                <w:szCs w:val="20"/>
                <w:color w:val="auto"/>
              </w:rPr>
            </w:pPr>
            <w:r>
              <w:rPr>
                <w:rFonts w:ascii="Verdana" w:cs="Verdana" w:eastAsia="Verdana" w:hAnsi="Verdana"/>
                <w:sz w:val="16"/>
                <w:szCs w:val="16"/>
                <w:b w:val="1"/>
                <w:bCs w:val="1"/>
                <w:color w:val="auto"/>
              </w:rPr>
              <w:t>subject to</w:t>
            </w:r>
          </w:p>
        </w:tc>
        <w:tc>
          <w:tcPr>
            <w:tcW w:w="138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r>
      <w:tr>
        <w:trPr>
          <w:trHeight w:val="213"/>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b w:val="1"/>
                <w:bCs w:val="1"/>
                <w:color w:val="auto"/>
              </w:rPr>
              <w:t>performance</w:t>
            </w: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DSIP 2023</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2,089</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7-Mar-23</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7-Mar-27</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in full</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2,089</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9"/>
              </w:rPr>
              <w:t>T2</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DSIP 2024</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4,852</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2-Apr-24</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2-Apr-27</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in full</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4,852</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9"/>
              </w:rPr>
              <w:t>T1</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DSIP 2024</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4,853</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2-Apr-24</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2-Apr-28</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in full</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4,853</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9"/>
              </w:rPr>
              <w:t>T2</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C.LTIP 2023</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30,697</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28-Apr-23</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28-Apr-27</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30,697</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Yes</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Q1 2027 but no later</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9"/>
              </w:rPr>
              <w:t>T2</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performance</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than 15 March 2027</w:t>
            </w: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C.LTIP 2023</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30,697</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28-Apr-23</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28-Apr-28</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20,465</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Yes</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Q1 2028 but no later</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9"/>
              </w:rPr>
              <w:t>T3</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rating and performance</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than 15 March 2028</w:t>
            </w: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C.LTIP 2023</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30,698</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28-Apr-23</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28-Apr-29</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10,223</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Yes</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Q1 2029 but no later</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9"/>
              </w:rPr>
              <w:t>T4</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rating and performance</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than 15 March 2029</w:t>
            </w: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2024 RSU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4,478</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19-Aug-</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19-Aug-27</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3,537</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Tranche 3</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24</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rating</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2025 RSU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3,735</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10-Mar-</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1-Sep-27</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2,732</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Tranche 2</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25</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rating</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2025 RSU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3,735</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10-Mar-</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1-Sep-28</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1,945</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Tranche 3</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25</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rating</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2026 RSU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10,561</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11-Mar-</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1-Sep-27</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5,799</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Tranche 1</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26</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rating</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2026 RSU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10,561</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11-Mar-</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1-Sep-28</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3,454</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Tranche 2</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26</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rating</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2026 RSU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10,562</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11-Mar-</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1-Sep-29</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2,461</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No</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By 15 March 2027</w:t>
            </w:r>
          </w:p>
        </w:tc>
      </w:tr>
      <w:tr>
        <w:trPr>
          <w:trHeight w:val="213"/>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Tranche 3</w:t>
            </w: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26</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w w:val="97"/>
              </w:rPr>
              <w:t>rating</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2024 PSU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40,297</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19-Aug-</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19-Aug-27</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31,833</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Yes</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Q1 2027 but no later</w:t>
            </w:r>
          </w:p>
        </w:tc>
      </w:tr>
      <w:tr>
        <w:trPr>
          <w:trHeight w:val="213"/>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24</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rating and performance</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than 15 March 2027</w:t>
            </w: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2025 PSU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33,615</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10-Mar-</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1-Sep-28</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17,508</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Yes</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Q1 2028 but no later</w:t>
            </w:r>
          </w:p>
        </w:tc>
      </w:tr>
      <w:tr>
        <w:trPr>
          <w:trHeight w:val="213"/>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25</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rating and performance</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than 15 March 2028</w:t>
            </w:r>
          </w:p>
        </w:tc>
      </w:tr>
      <w:tr>
        <w:trPr>
          <w:trHeight w:val="158"/>
        </w:trPr>
        <w:tc>
          <w:tcPr>
            <w:tcW w:w="1180" w:type="dxa"/>
            <w:vAlign w:val="bottom"/>
            <w:tcBorders>
              <w:left w:val="single" w:sz="8" w:color="auto"/>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9"/>
              </w:rPr>
              <w:t>2026 PSU</w:t>
            </w:r>
          </w:p>
        </w:tc>
        <w:tc>
          <w:tcPr>
            <w:tcW w:w="112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98,422</w:t>
            </w:r>
          </w:p>
        </w:tc>
        <w:tc>
          <w:tcPr>
            <w:tcW w:w="96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11-Mar-</w:t>
            </w:r>
          </w:p>
        </w:tc>
        <w:tc>
          <w:tcPr>
            <w:tcW w:w="11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1-Sep-29</w:t>
            </w:r>
          </w:p>
        </w:tc>
        <w:tc>
          <w:tcPr>
            <w:tcW w:w="22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Retained subject to pro-</w:t>
            </w:r>
          </w:p>
        </w:tc>
        <w:tc>
          <w:tcPr>
            <w:tcW w:w="130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w w:val="98"/>
              </w:rPr>
              <w:t>22,939</w:t>
            </w:r>
          </w:p>
        </w:tc>
        <w:tc>
          <w:tcPr>
            <w:tcW w:w="138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Yes</w:t>
            </w:r>
          </w:p>
        </w:tc>
        <w:tc>
          <w:tcPr>
            <w:tcW w:w="1940" w:type="dxa"/>
            <w:vAlign w:val="bottom"/>
            <w:tcBorders>
              <w:right w:val="single" w:sz="8" w:color="auto"/>
            </w:tcBorders>
          </w:tcPr>
          <w:p>
            <w:pPr>
              <w:jc w:val="center"/>
              <w:spacing w:after="0" w:line="158" w:lineRule="exact"/>
              <w:rPr>
                <w:sz w:val="20"/>
                <w:szCs w:val="20"/>
                <w:color w:val="auto"/>
              </w:rPr>
            </w:pPr>
            <w:r>
              <w:rPr>
                <w:rFonts w:ascii="Verdana" w:cs="Verdana" w:eastAsia="Verdana" w:hAnsi="Verdana"/>
                <w:sz w:val="16"/>
                <w:szCs w:val="16"/>
                <w:color w:val="auto"/>
              </w:rPr>
              <w:t>Q1 2029 but no later</w:t>
            </w:r>
          </w:p>
        </w:tc>
      </w:tr>
      <w:tr>
        <w:trPr>
          <w:trHeight w:val="213"/>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96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26</w:t>
            </w:r>
          </w:p>
        </w:tc>
        <w:tc>
          <w:tcPr>
            <w:tcW w:w="11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rating and performance</w:t>
            </w:r>
          </w:p>
        </w:tc>
        <w:tc>
          <w:tcPr>
            <w:tcW w:w="130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jc w:val="center"/>
              <w:spacing w:after="0"/>
              <w:rPr>
                <w:sz w:val="20"/>
                <w:szCs w:val="20"/>
                <w:color w:val="auto"/>
              </w:rPr>
            </w:pPr>
            <w:r>
              <w:rPr>
                <w:rFonts w:ascii="Verdana" w:cs="Verdana" w:eastAsia="Verdana" w:hAnsi="Verdana"/>
                <w:sz w:val="16"/>
                <w:szCs w:val="16"/>
                <w:color w:val="auto"/>
              </w:rPr>
              <w:t>than 15 March 2029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16459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right="20" w:hanging="312"/>
        <w:spacing w:after="0"/>
        <w:tabs>
          <w:tab w:leader="none" w:pos="311" w:val="left"/>
        </w:tabs>
        <w:numPr>
          <w:ilvl w:val="0"/>
          <w:numId w:val="65"/>
        </w:numPr>
        <w:rPr>
          <w:rFonts w:ascii="Verdana" w:cs="Verdana" w:eastAsia="Verdana" w:hAnsi="Verdana"/>
          <w:sz w:val="22"/>
          <w:szCs w:val="22"/>
          <w:color w:val="auto"/>
          <w:vertAlign w:val="superscript"/>
        </w:rPr>
      </w:pPr>
      <w:r>
        <w:rPr>
          <w:rFonts w:ascii="Verdana" w:cs="Verdana" w:eastAsia="Verdana" w:hAnsi="Verdana"/>
          <w:sz w:val="12"/>
          <w:szCs w:val="12"/>
          <w:color w:val="auto"/>
        </w:rPr>
        <w:t>Vesting of performance based LTIP awards and PSU awards as soon as practicably possible following certification of performance outcomes and announcement of year end results.</w:t>
      </w:r>
    </w:p>
    <w:p>
      <w:pPr>
        <w:spacing w:after="0" w:line="192" w:lineRule="exact"/>
        <w:rPr>
          <w:sz w:val="20"/>
          <w:szCs w:val="20"/>
          <w:color w:val="auto"/>
        </w:rPr>
      </w:pPr>
    </w:p>
    <w:p>
      <w:pPr>
        <w:ind w:left="180"/>
        <w:spacing w:after="0"/>
        <w:rPr>
          <w:sz w:val="20"/>
          <w:szCs w:val="20"/>
          <w:color w:val="auto"/>
        </w:rPr>
      </w:pPr>
      <w:r>
        <w:rPr>
          <w:rFonts w:ascii="Verdana" w:cs="Verdana" w:eastAsia="Verdana" w:hAnsi="Verdana"/>
          <w:sz w:val="13"/>
          <w:szCs w:val="13"/>
          <w:color w:val="auto"/>
        </w:rPr>
        <w:t>2ï2</w:t>
      </w:r>
    </w:p>
    <w:p>
      <w:pPr>
        <w:spacing w:after="0" w:line="126" w:lineRule="exact"/>
        <w:rPr>
          <w:sz w:val="20"/>
          <w:szCs w:val="20"/>
          <w:color w:val="auto"/>
        </w:rPr>
      </w:pPr>
    </w:p>
    <w:p>
      <w:pPr>
        <w:ind w:left="20"/>
        <w:spacing w:after="0"/>
        <w:rPr>
          <w:sz w:val="20"/>
          <w:szCs w:val="20"/>
          <w:color w:val="auto"/>
        </w:rPr>
      </w:pPr>
      <w:r>
        <w:rPr>
          <w:rFonts w:ascii="Verdana" w:cs="Verdana" w:eastAsia="Verdana" w:hAnsi="Verdana"/>
          <w:sz w:val="13"/>
          <w:szCs w:val="13"/>
          <w:color w:val="auto"/>
        </w:rPr>
        <w:t>EUROPE-LEGAL-255189342/31 EPB-000180</w:t>
      </w:r>
    </w:p>
    <w:p>
      <w:pPr>
        <w:sectPr>
          <w:pgSz w:w="11900" w:h="16838" w:orient="portrait"/>
          <w:cols w:equalWidth="0" w:num="1">
            <w:col w:w="11260"/>
          </w:cols>
          <w:pgMar w:left="320" w:top="1440" w:right="319" w:bottom="1440" w:gutter="0" w:footer="0" w:header="0"/>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60"/>
        <w:spacing w:after="0"/>
        <w:rPr>
          <w:sz w:val="20"/>
          <w:szCs w:val="20"/>
          <w:color w:val="auto"/>
        </w:rPr>
      </w:pPr>
      <w:r>
        <w:rPr>
          <w:rFonts w:ascii="Verdana" w:cs="Verdana" w:eastAsia="Verdana" w:hAnsi="Verdana"/>
          <w:sz w:val="13"/>
          <w:szCs w:val="13"/>
          <w:color w:val="auto"/>
        </w:rPr>
        <w:t>3ï2</w:t>
      </w:r>
    </w:p>
    <w:p>
      <w:pPr>
        <w:spacing w:after="0" w:line="112" w:lineRule="exact"/>
        <w:rPr>
          <w:sz w:val="20"/>
          <w:szCs w:val="20"/>
          <w:color w:val="auto"/>
        </w:rPr>
      </w:pPr>
    </w:p>
    <w:p>
      <w:pPr>
        <w:spacing w:after="0"/>
        <w:rPr>
          <w:sz w:val="20"/>
          <w:szCs w:val="20"/>
          <w:color w:val="auto"/>
        </w:rPr>
      </w:pPr>
      <w:r>
        <w:rPr>
          <w:rFonts w:ascii="Verdana" w:cs="Verdana" w:eastAsia="Verdana" w:hAnsi="Verdana"/>
          <w:sz w:val="12"/>
          <w:szCs w:val="12"/>
          <w:color w:val="auto"/>
        </w:rPr>
        <w:t>EUROPE-LEGAL-255189342/31 EPB-000180</w:t>
      </w:r>
    </w:p>
    <w:p>
      <w:pPr>
        <w:sectPr>
          <w:pgSz w:w="11900" w:h="16838" w:orient="portrait"/>
          <w:cols w:equalWidth="0" w:num="1">
            <w:col w:w="10119"/>
          </w:cols>
          <w:pgMar w:left="340" w:top="1440"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Jackson, certify that:</w:t>
      </w:r>
    </w:p>
    <w:p>
      <w:pPr>
        <w:spacing w:after="0" w:line="117" w:lineRule="exact"/>
        <w:rPr>
          <w:sz w:val="20"/>
          <w:szCs w:val="20"/>
          <w:color w:val="auto"/>
        </w:rPr>
      </w:pPr>
    </w:p>
    <w:p>
      <w:pPr>
        <w:ind w:left="980" w:hanging="506"/>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Flutter Entertainment plc;</w:t>
      </w:r>
    </w:p>
    <w:p>
      <w:pPr>
        <w:spacing w:after="0" w:line="117" w:lineRule="exact"/>
        <w:rPr>
          <w:rFonts w:ascii="Times New Roman" w:cs="Times New Roman" w:eastAsia="Times New Roman" w:hAnsi="Times New Roman"/>
          <w:sz w:val="18"/>
          <w:szCs w:val="18"/>
          <w:color w:val="auto"/>
        </w:rPr>
      </w:pPr>
    </w:p>
    <w:p>
      <w:pPr>
        <w:jc w:val="both"/>
        <w:ind w:left="980" w:right="60" w:hanging="506"/>
        <w:spacing w:after="0" w:line="266" w:lineRule="auto"/>
        <w:tabs>
          <w:tab w:leader="none" w:pos="9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506"/>
        <w:spacing w:after="0" w:line="282" w:lineRule="auto"/>
        <w:tabs>
          <w:tab w:leader="none" w:pos="9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506"/>
        <w:spacing w:after="0" w:line="266" w:lineRule="auto"/>
        <w:tabs>
          <w:tab w:leader="none" w:pos="97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488"/>
        <w:spacing w:after="0" w:line="266" w:lineRule="auto"/>
        <w:tabs>
          <w:tab w:leader="none" w:pos="195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20" w:hanging="488"/>
        <w:spacing w:after="0" w:line="266" w:lineRule="auto"/>
        <w:tabs>
          <w:tab w:leader="none" w:pos="195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488"/>
        <w:spacing w:after="0" w:line="266" w:lineRule="auto"/>
        <w:tabs>
          <w:tab w:leader="none" w:pos="195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20" w:hanging="488"/>
        <w:spacing w:after="0" w:line="266" w:lineRule="auto"/>
        <w:tabs>
          <w:tab w:leader="none" w:pos="195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506"/>
        <w:spacing w:after="0" w:line="312" w:lineRule="auto"/>
        <w:tabs>
          <w:tab w:leader="none" w:pos="974"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960" w:right="80" w:hanging="488"/>
        <w:spacing w:after="0" w:line="266" w:lineRule="auto"/>
        <w:tabs>
          <w:tab w:leader="none" w:pos="195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00" w:hanging="488"/>
        <w:spacing w:after="0" w:line="282" w:lineRule="auto"/>
        <w:tabs>
          <w:tab w:leader="none" w:pos="195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7"/>
          <w:szCs w:val="17"/>
          <w:color w:val="auto"/>
        </w:rPr>
        <w:t>/s/ Dan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51435</wp:posOffset>
            </wp:positionV>
            <wp:extent cx="36004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Dan Taylor</w:t>
      </w:r>
    </w:p>
    <w:p>
      <w:pPr>
        <w:spacing w:after="0" w:line="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17 CFR 240.13a-14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PROMULGATED UNDER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Coldrake, certify that:</w:t>
      </w:r>
    </w:p>
    <w:p>
      <w:pPr>
        <w:spacing w:after="0" w:line="117" w:lineRule="exact"/>
        <w:rPr>
          <w:sz w:val="20"/>
          <w:szCs w:val="20"/>
          <w:color w:val="auto"/>
        </w:rPr>
      </w:pPr>
    </w:p>
    <w:p>
      <w:pPr>
        <w:ind w:left="980" w:hanging="506"/>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Flutter Entertainment plc;</w:t>
      </w:r>
    </w:p>
    <w:p>
      <w:pPr>
        <w:spacing w:after="0" w:line="117" w:lineRule="exact"/>
        <w:rPr>
          <w:rFonts w:ascii="Times New Roman" w:cs="Times New Roman" w:eastAsia="Times New Roman" w:hAnsi="Times New Roman"/>
          <w:sz w:val="18"/>
          <w:szCs w:val="18"/>
          <w:color w:val="auto"/>
        </w:rPr>
      </w:pPr>
    </w:p>
    <w:p>
      <w:pPr>
        <w:jc w:val="both"/>
        <w:ind w:left="980" w:right="60" w:hanging="506"/>
        <w:spacing w:after="0" w:line="266" w:lineRule="auto"/>
        <w:tabs>
          <w:tab w:leader="none" w:pos="9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506"/>
        <w:spacing w:after="0" w:line="282" w:lineRule="auto"/>
        <w:tabs>
          <w:tab w:leader="none" w:pos="9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506"/>
        <w:spacing w:after="0" w:line="266" w:lineRule="auto"/>
        <w:tabs>
          <w:tab w:leader="none" w:pos="97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960" w:right="80" w:hanging="488"/>
        <w:spacing w:after="0" w:line="266" w:lineRule="auto"/>
        <w:tabs>
          <w:tab w:leader="none" w:pos="19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960" w:right="220" w:hanging="488"/>
        <w:spacing w:after="0" w:line="266" w:lineRule="auto"/>
        <w:tabs>
          <w:tab w:leader="none" w:pos="19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960" w:hanging="488"/>
        <w:spacing w:after="0" w:line="266" w:lineRule="auto"/>
        <w:tabs>
          <w:tab w:leader="none" w:pos="19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960" w:right="320" w:hanging="488"/>
        <w:spacing w:after="0" w:line="266" w:lineRule="auto"/>
        <w:tabs>
          <w:tab w:leader="none" w:pos="19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506"/>
        <w:spacing w:after="0" w:line="312" w:lineRule="auto"/>
        <w:tabs>
          <w:tab w:leader="none" w:pos="97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960" w:right="80" w:hanging="488"/>
        <w:spacing w:after="0" w:line="266" w:lineRule="auto"/>
        <w:tabs>
          <w:tab w:leader="none" w:pos="19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960" w:right="100" w:hanging="488"/>
        <w:spacing w:after="0" w:line="282" w:lineRule="auto"/>
        <w:tabs>
          <w:tab w:leader="none" w:pos="195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20"/>
        <w:spacing w:after="0"/>
        <w:tabs>
          <w:tab w:leader="none" w:pos="556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7"/>
          <w:szCs w:val="17"/>
          <w:color w:val="auto"/>
        </w:rPr>
        <w:t>/s/ Robert Coldrake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43180</wp:posOffset>
            </wp:positionV>
            <wp:extent cx="36004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Robert Coldrake</w:t>
      </w:r>
    </w:p>
    <w:p>
      <w:pPr>
        <w:spacing w:after="0" w:line="3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941"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Flutter Entertainment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quarterly period ended September 30, 2026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Peter Jackson,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1020" w:hanging="520"/>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560" w:hanging="540"/>
        <w:spacing w:after="0" w:line="282" w:lineRule="auto"/>
        <w:tabs>
          <w:tab w:leader="none" w:pos="103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26"/>
          <w:szCs w:val="26"/>
          <w:color w:val="auto"/>
          <w:vertAlign w:val="superscript"/>
        </w:rPr>
        <w:t>/s/ Dan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-14605</wp:posOffset>
            </wp:positionV>
            <wp:extent cx="38061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1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Dan Taylor</w:t>
      </w:r>
    </w:p>
    <w:p>
      <w:pPr>
        <w:spacing w:after="0" w:line="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Flutter Entertainment plc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quarterly period ended September 30, 2026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Robert Coldrake, Chief Financial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1020" w:hanging="520"/>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40" w:right="560" w:hanging="540"/>
        <w:spacing w:after="0" w:line="282" w:lineRule="auto"/>
        <w:tabs>
          <w:tab w:leader="none" w:pos="103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20"/>
        <w:spacing w:after="0"/>
        <w:tabs>
          <w:tab w:leader="none" w:pos="5100" w:val="left"/>
        </w:tabs>
        <w:rPr>
          <w:sz w:val="20"/>
          <w:szCs w:val="20"/>
          <w:color w:val="auto"/>
        </w:rPr>
      </w:pPr>
      <w:r>
        <w:rPr>
          <w:rFonts w:ascii="Times New Roman" w:cs="Times New Roman" w:eastAsia="Times New Roman" w:hAnsi="Times New Roman"/>
          <w:sz w:val="18"/>
          <w:szCs w:val="18"/>
          <w:color w:val="auto"/>
        </w:rPr>
        <w:t>Date: November 4, 2026</w:t>
      </w:r>
      <w:r>
        <w:rPr>
          <w:sz w:val="20"/>
          <w:szCs w:val="20"/>
          <w:color w:val="auto"/>
        </w:rPr>
        <w:tab/>
      </w:r>
      <w:r>
        <w:rPr>
          <w:rFonts w:ascii="Times New Roman" w:cs="Times New Roman" w:eastAsia="Times New Roman" w:hAnsi="Times New Roman"/>
          <w:sz w:val="17"/>
          <w:szCs w:val="17"/>
          <w:color w:val="auto"/>
        </w:rPr>
        <w:t>/s/ Robert Coldrake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34290</wp:posOffset>
            </wp:positionV>
            <wp:extent cx="38061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806190" cy="8255"/>
                    </a:xfrm>
                    <a:prstGeom prst="rect">
                      <a:avLst/>
                    </a:prstGeom>
                    <a:noFill/>
                  </pic:spPr>
                </pic:pic>
              </a:graphicData>
            </a:graphic>
          </wp:anchor>
        </w:drawing>
      </w:r>
    </w:p>
    <w:p>
      <w:pPr>
        <w:spacing w:after="0" w:line="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Robert Coldrake</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240"/>
      </w:cols>
      <w:pgMar w:left="320" w:top="9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1."/>
      <w:numFmt w:val="decimal"/>
      <w:start w:val="1"/>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1."/>
      <w:numFmt w:val="decimal"/>
      <w:start w:val="16"/>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
    </w:lvl>
  </w:abstractNum>
  <w:abstractNum w:abstractNumId="15">
    <w:nsid w:val="6A2342EC"/>
    <w:multiLevelType w:val="hybridMultilevel"/>
    <w:lvl w:ilvl="0">
      <w:lvlJc w:val="left"/>
      <w:lvlText w:val="%1."/>
      <w:numFmt w:val="decimal"/>
      <w:start w:val="1"/>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5"/>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1)"/>
      <w:numFmt w:val="lowerRoman"/>
      <w:start w:val="1"/>
    </w:lvl>
  </w:abstractNum>
  <w:abstractNum w:abstractNumId="23">
    <w:nsid w:val="542289EC"/>
    <w:multiLevelType w:val="hybridMultilevel"/>
    <w:lvl w:ilvl="0">
      <w:lvlJc w:val="left"/>
      <w:lvlText w:val="(%1)"/>
      <w:numFmt w:val="lowerRoman"/>
      <w:start w:val="4"/>
    </w:lvl>
  </w:abstractNum>
  <w:abstractNum w:abstractNumId="24">
    <w:nsid w:val="6DE91B18"/>
    <w:multiLevelType w:val="hybridMultilevel"/>
    <w:lvl w:ilvl="0">
      <w:lvlJc w:val="left"/>
      <w:lvlText w:val="%1."/>
      <w:numFmt w:val="decimal"/>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1."/>
      <w:numFmt w:val="decimal"/>
      <w:start w:val="1"/>
    </w:lvl>
  </w:abstractNum>
  <w:abstractNum w:abstractNumId="31">
    <w:nsid w:val="3DC240FB"/>
    <w:multiLevelType w:val="hybridMultilevel"/>
    <w:lvl w:ilvl="0">
      <w:lvlJc w:val="left"/>
      <w:lvlText w:val="(%1)"/>
      <w:numFmt w:val="lowerRoman"/>
      <w:start w:val="3"/>
    </w:lvl>
  </w:abstractNum>
  <w:abstractNum w:abstractNumId="32">
    <w:nsid w:val="1BA026FA"/>
    <w:multiLevelType w:val="hybridMultilevel"/>
    <w:lvl w:ilvl="0">
      <w:lvlJc w:val="left"/>
      <w:lvlText w:val="*"/>
      <w:numFmt w:val="bullet"/>
      <w:start w:val="1"/>
    </w:lvl>
    <w:lvl w:ilvl="1">
      <w:lvlJc w:val="left"/>
      <w:lvlText w:val="%2"/>
      <w:numFmt w:val="decimal"/>
      <w:start w:val="104"/>
    </w:lvl>
  </w:abstractNum>
  <w:abstractNum w:abstractNumId="33">
    <w:nsid w:val="79A1DEAA"/>
    <w:multiLevelType w:val="hybridMultilevel"/>
    <w:lvl w:ilvl="0">
      <w:lvlJc w:val="left"/>
      <w:lvlText w:val="(%1)"/>
      <w:numFmt w:val="decimal"/>
      <w:start w:val="1"/>
    </w:lvl>
  </w:abstractNum>
  <w:abstractNum w:abstractNumId="34">
    <w:nsid w:val="75C6C33A"/>
    <w:multiLevelType w:val="hybridMultilevel"/>
    <w:lvl w:ilvl="0">
      <w:lvlJc w:val="left"/>
      <w:lvlText w:val="(%1)"/>
      <w:numFmt w:val="upperLetter"/>
      <w:start w:val="1"/>
    </w:lvl>
  </w:abstractNum>
  <w:abstractNum w:abstractNumId="35">
    <w:nsid w:val="12E685FB"/>
    <w:multiLevelType w:val="hybridMultilevel"/>
    <w:lvl w:ilvl="0">
      <w:lvlJc w:val="left"/>
      <w:lvlText w:val="%1."/>
      <w:numFmt w:val="decimal"/>
      <w:start w:val="1"/>
    </w:lvl>
  </w:abstractNum>
  <w:abstractNum w:abstractNumId="36">
    <w:nsid w:val="70C6A529"/>
    <w:multiLevelType w:val="hybridMultilevel"/>
    <w:lvl w:ilvl="0">
      <w:lvlJc w:val="left"/>
      <w:lvlText w:val="(%1)"/>
      <w:numFmt w:val="lowerRoman"/>
      <w:start w:val="3"/>
    </w:lvl>
  </w:abstractNum>
  <w:abstractNum w:abstractNumId="37">
    <w:nsid w:val="520EEDD1"/>
    <w:multiLevelType w:val="hybridMultilevel"/>
    <w:lvl w:ilvl="0">
      <w:lvlJc w:val="left"/>
      <w:lvlText w:val="%1."/>
      <w:numFmt w:val="decimal"/>
      <w:start w:val="2"/>
    </w:lvl>
  </w:abstractNum>
  <w:abstractNum w:abstractNumId="38">
    <w:nsid w:val="374A3FE6"/>
    <w:multiLevelType w:val="hybridMultilevel"/>
    <w:lvl w:ilvl="0">
      <w:lvlJc w:val="left"/>
      <w:lvlText w:val="%1."/>
      <w:numFmt w:val="decimal"/>
      <w:start w:val="3"/>
    </w:lvl>
  </w:abstractNum>
  <w:abstractNum w:abstractNumId="39">
    <w:nsid w:val="4F4EF005"/>
    <w:multiLevelType w:val="hybridMultilevel"/>
    <w:lvl w:ilvl="0">
      <w:lvlJc w:val="left"/>
      <w:lvlText w:val="(%1)"/>
      <w:numFmt w:val="lowerLetter"/>
      <w:start w:val="1"/>
    </w:lvl>
    <w:lvl w:ilvl="1">
      <w:lvlJc w:val="left"/>
      <w:lvlText w:val="(%2)"/>
      <w:numFmt w:val="lowerRoman"/>
      <w:start w:val="1"/>
    </w:lvl>
  </w:abstractNum>
  <w:abstractNum w:abstractNumId="40">
    <w:nsid w:val="23F9C13C"/>
    <w:multiLevelType w:val="hybridMultilevel"/>
    <w:lvl w:ilvl="0">
      <w:lvlJc w:val="left"/>
      <w:lvlText w:val="(%1)"/>
      <w:numFmt w:val="lowerLetter"/>
      <w:start w:val="3"/>
    </w:lvl>
    <w:lvl w:ilvl="1">
      <w:lvlJc w:val="left"/>
      <w:lvlText w:val="(%2)"/>
      <w:numFmt w:val="lowerLetter"/>
      <w:start w:val="9"/>
    </w:lvl>
  </w:abstractNum>
  <w:abstractNum w:abstractNumId="41">
    <w:nsid w:val="649BB77C"/>
    <w:multiLevelType w:val="hybridMultilevel"/>
    <w:lvl w:ilvl="0">
      <w:lvlJc w:val="left"/>
      <w:lvlText w:val="%1"/>
      <w:numFmt w:val="lowerLetter"/>
      <w:start w:val="1"/>
    </w:lvl>
    <w:lvl w:ilvl="1">
      <w:lvlJc w:val="left"/>
      <w:lvlText w:val="(%2)"/>
      <w:numFmt w:val="lowerRoman"/>
      <w:start w:val="2"/>
    </w:lvl>
  </w:abstractNum>
  <w:abstractNum w:abstractNumId="42">
    <w:nsid w:val="275AC794"/>
    <w:multiLevelType w:val="hybridMultilevel"/>
    <w:lvl w:ilvl="0">
      <w:lvlJc w:val="left"/>
      <w:lvlText w:val="(%1)"/>
      <w:numFmt w:val="lowerLetter"/>
      <w:start w:val="8"/>
    </w:lvl>
    <w:lvl w:ilvl="1">
      <w:lvlJc w:val="left"/>
      <w:lvlText w:val="%2"/>
      <w:numFmt w:val="lowerRoman"/>
      <w:start w:val="1"/>
    </w:lvl>
  </w:abstractNum>
  <w:abstractNum w:abstractNumId="43">
    <w:nsid w:val="39386575"/>
    <w:multiLevelType w:val="hybridMultilevel"/>
    <w:lvl w:ilvl="0">
      <w:lvlJc w:val="left"/>
      <w:lvlText w:val="%1"/>
      <w:numFmt w:val="decimal"/>
      <w:start w:val="1"/>
    </w:lvl>
    <w:lvl w:ilvl="1">
      <w:lvlJc w:val="left"/>
      <w:lvlText w:val="(%2)"/>
      <w:numFmt w:val="lowerLetter"/>
      <w:start w:val="1"/>
    </w:lvl>
  </w:abstractNum>
  <w:abstractNum w:abstractNumId="44">
    <w:nsid w:val="1CF10FD8"/>
    <w:multiLevelType w:val="hybridMultilevel"/>
    <w:lvl w:ilvl="0">
      <w:lvlJc w:val="left"/>
      <w:lvlText w:val="%1."/>
      <w:numFmt w:val="decimal"/>
      <w:start w:val="4"/>
    </w:lvl>
    <w:lvl w:ilvl="1">
      <w:lvlJc w:val="left"/>
      <w:lvlText w:val="%2"/>
      <w:numFmt w:val="lowerLetter"/>
      <w:start w:val="1"/>
    </w:lvl>
  </w:abstractNum>
  <w:abstractNum w:abstractNumId="45">
    <w:nsid w:val="180115BE"/>
    <w:multiLevelType w:val="hybridMultilevel"/>
    <w:lvl w:ilvl="0">
      <w:lvlJc w:val="left"/>
      <w:lvlText w:val="%1."/>
      <w:numFmt w:val="decimal"/>
      <w:start w:val="5"/>
    </w:lvl>
  </w:abstractNum>
  <w:abstractNum w:abstractNumId="46">
    <w:nsid w:val="235BA861"/>
    <w:multiLevelType w:val="hybridMultilevel"/>
    <w:lvl w:ilvl="0">
      <w:lvlJc w:val="left"/>
      <w:lvlText w:val="(%1)"/>
      <w:numFmt w:val="lowerLetter"/>
      <w:start w:val="1"/>
    </w:lvl>
  </w:abstractNum>
  <w:abstractNum w:abstractNumId="47">
    <w:nsid w:val="47398C89"/>
    <w:multiLevelType w:val="hybridMultilevel"/>
    <w:lvl w:ilvl="0">
      <w:lvlJc w:val="left"/>
      <w:lvlText w:val="(%1)"/>
      <w:numFmt w:val="lowerLetter"/>
      <w:start w:val="1"/>
    </w:lvl>
    <w:lvl w:ilvl="1">
      <w:lvlJc w:val="left"/>
      <w:lvlText w:val="(%2)"/>
      <w:numFmt w:val="lowerRoman"/>
      <w:start w:val="1"/>
    </w:lvl>
  </w:abstractNum>
  <w:abstractNum w:abstractNumId="48">
    <w:nsid w:val="354FE9F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9">
    <w:nsid w:val="15B5AF5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
    <w:nsid w:val="741226BB"/>
    <w:multiLevelType w:val="hybridMultilevel"/>
    <w:lvl w:ilvl="0">
      <w:lvlJc w:val="left"/>
      <w:lvlText w:val="%1."/>
      <w:numFmt w:val="decimal"/>
      <w:start w:val="8"/>
    </w:lvl>
  </w:abstractNum>
  <w:abstractNum w:abstractNumId="51">
    <w:nsid w:val="D34B6A8"/>
    <w:multiLevelType w:val="hybridMultilevel"/>
    <w:lvl w:ilvl="0">
      <w:lvlJc w:val="left"/>
      <w:lvlText w:val="%1."/>
      <w:numFmt w:val="decimal"/>
      <w:start w:val="10"/>
    </w:lvl>
  </w:abstractNum>
  <w:abstractNum w:abstractNumId="52">
    <w:nsid w:val="10233C99"/>
    <w:multiLevelType w:val="hybridMultilevel"/>
    <w:lvl w:ilvl="0">
      <w:lvlJc w:val="left"/>
      <w:lvlText w:val="%1."/>
      <w:numFmt w:val="decimal"/>
      <w:start w:val="11"/>
    </w:lvl>
  </w:abstractNum>
  <w:abstractNum w:abstractNumId="53">
    <w:nsid w:val="3F6AB60F"/>
    <w:multiLevelType w:val="hybridMultilevel"/>
    <w:lvl w:ilvl="0">
      <w:lvlJc w:val="left"/>
      <w:lvlText w:val="%1."/>
      <w:numFmt w:val="decimal"/>
      <w:start w:val="12"/>
    </w:lvl>
  </w:abstractNum>
  <w:abstractNum w:abstractNumId="54">
    <w:nsid w:val="61574095"/>
    <w:multiLevelType w:val="hybridMultilevel"/>
    <w:lvl w:ilvl="0">
      <w:lvlJc w:val="left"/>
      <w:lvlText w:val="%1."/>
      <w:numFmt w:val="decimal"/>
      <w:start w:val="14"/>
    </w:lvl>
  </w:abstractNum>
  <w:abstractNum w:abstractNumId="55">
    <w:nsid w:val="7E0C57B1"/>
    <w:multiLevelType w:val="hybridMultilevel"/>
    <w:lvl w:ilvl="0">
      <w:lvlJc w:val="left"/>
      <w:lvlText w:val="(%1)"/>
      <w:numFmt w:val="lowerLetter"/>
      <w:start w:val="1"/>
    </w:lvl>
    <w:lvl w:ilvl="1">
      <w:lvlJc w:val="left"/>
      <w:lvlText w:val="(%2)"/>
      <w:numFmt w:val="lowerRoman"/>
      <w:start w:val="1"/>
    </w:lvl>
  </w:abstractNum>
  <w:abstractNum w:abstractNumId="56">
    <w:nsid w:val="77AE35EB"/>
    <w:multiLevelType w:val="hybridMultilevel"/>
    <w:lvl w:ilvl="0">
      <w:lvlJc w:val="left"/>
      <w:lvlText w:val="(%1)"/>
      <w:numFmt w:val="lowerRoman"/>
      <w:start w:val="1"/>
    </w:lvl>
  </w:abstractNum>
  <w:abstractNum w:abstractNumId="57">
    <w:nsid w:val="579BE4F1"/>
    <w:multiLevelType w:val="hybridMultilevel"/>
    <w:lvl w:ilvl="0">
      <w:lvlJc w:val="left"/>
      <w:lvlText w:val="%1."/>
      <w:numFmt w:val="decimal"/>
      <w:start w:val="15"/>
    </w:lvl>
  </w:abstractNum>
  <w:abstractNum w:abstractNumId="58">
    <w:nsid w:val="310C50B3"/>
    <w:multiLevelType w:val="hybridMultilevel"/>
    <w:lvl w:ilvl="0">
      <w:lvlJc w:val="left"/>
      <w:lvlText w:val="(%1)"/>
      <w:numFmt w:val="lowerLetter"/>
      <w:start w:val="1"/>
    </w:lvl>
  </w:abstractNum>
  <w:abstractNum w:abstractNumId="59">
    <w:nsid w:val="5FF87E05"/>
    <w:multiLevelType w:val="hybridMultilevel"/>
    <w:lvl w:ilvl="0">
      <w:lvlJc w:val="left"/>
      <w:lvlText w:val="%1."/>
      <w:numFmt w:val="decimal"/>
      <w:start w:val="16"/>
    </w:lvl>
  </w:abstractNum>
  <w:abstractNum w:abstractNumId="60">
    <w:nsid w:val="2F305DEF"/>
    <w:multiLevelType w:val="hybridMultilevel"/>
    <w:lvl w:ilvl="0">
      <w:lvlJc w:val="left"/>
      <w:lvlText w:val="%1."/>
      <w:numFmt w:val="decimal"/>
      <w:start w:val="17"/>
    </w:lvl>
  </w:abstractNum>
  <w:abstractNum w:abstractNumId="61">
    <w:nsid w:val="25A70BF7"/>
    <w:multiLevelType w:val="hybridMultilevel"/>
    <w:lvl w:ilvl="0">
      <w:lvlJc w:val="left"/>
      <w:lvlText w:val="%1."/>
      <w:numFmt w:val="decimal"/>
      <w:start w:val="18"/>
    </w:lvl>
  </w:abstractNum>
  <w:abstractNum w:abstractNumId="62">
    <w:nsid w:val="1DBABF00"/>
    <w:multiLevelType w:val="hybridMultilevel"/>
    <w:lvl w:ilvl="0">
      <w:lvlJc w:val="left"/>
      <w:lvlText w:val="(%1)"/>
      <w:numFmt w:val="lowerLetter"/>
      <w:start w:val="1"/>
    </w:lvl>
    <w:lvl w:ilvl="1">
      <w:lvlJc w:val="left"/>
      <w:lvlText w:val="(%2)"/>
      <w:numFmt w:val="lowerRoman"/>
      <w:start w:val="1"/>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bullet"/>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98" Type="http://schemas.openxmlformats.org/officeDocument/2006/relationships/hyperlink" Target="https://www.sec.gov/Archives/edgar/data/1635327/000119312526248919/d115362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2026-11-04T06:04:05Z</dcterms:created>
  <dcterms:modified xsi:type="dcterms:W3CDTF">2026-11-04T06:04:05Z</dcterms:modified>
</cp:coreProperties>
</file>