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16"/>
        <w:gridCol w:w="1131"/>
        <w:gridCol w:w="831"/>
        <w:gridCol w:w="951"/>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P/K</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94,616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94,616</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99.9609</w:t>
            </w:r>
            <w:r>
              <w:rPr/>
              <w:t xml:space="preserve"> </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17,071,501</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$99.9609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LBS Limited is the party to the reported transaction and the direct 'holder' of the 'notional' shares. Lake Michigan Limited and LBS Limited were parties to previously reported swap transactions that provide an aggregate position in 16,976,885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4168</Characters>
  <CharactersWithSpaces>4886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