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DART KENNETH BRYAN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 O. BOX 31300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E9</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KY1-1206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Flutter Entertainment plc</w:t>
              </w:r>
            </w:hyperlink>
            <w:r>
              <w:rPr/>
              <w:t xml:space="preserve"> [ </w:t>
            </w:r>
            <w:r>
              <w:rPr>
                <w:rFonts w:ascii="Times;serif" w:hAnsi="Times;serif"/>
                <w:color w:val="0000FF"/>
                <w:sz w:val="24"/>
                <w:shd w:fill="FFFFFF" w:val="clear"/>
              </w:rPr>
              <w:t>FLUT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79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966"/>
        <w:gridCol w:w="276"/>
        <w:gridCol w:w="906"/>
        <w:gridCol w:w="801"/>
        <w:gridCol w:w="891"/>
        <w:gridCol w:w="1101"/>
        <w:gridCol w:w="921"/>
        <w:gridCol w:w="966"/>
        <w:gridCol w:w="831"/>
        <w:gridCol w:w="906"/>
      </w:tblGrid>
      <w:tr>
        <w:trPr>
          <w:tblHeader w:val="true"/>
        </w:trPr>
        <w:tc>
          <w:tcPr>
            <w:tcW w:w="127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Total Return Swap</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P/K</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1,214,188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1,214,188</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109.8715</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6,254,378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reference price for the Swap is $109.8715 per share. The Swap is scheduled to terminate on March 2, 2028, at which time the Swap will be cash-settled. Under the terms of the Swap, at maturity: (i)the Reporting Person will be obligated to pay to the counterparty any decrease in the market price of the referenced shares below the reference price, and (ii) the counterparty will be obligated to pay the Reporting Person any increase in the market price of the referenced shares above the reference price. The Swap requires the Reporting Person to pay monthly interest to the counterparty on the financing leg of the Swap at a rate based on SOFR. Additionally, the Reporting Person is entitled to receive payments from the counterparty equal to any dividends paid on the referenced shares during the term of the Swap.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LBS Limited is the party to the Swap and direct "holder" of the "notional" shares. As owner of LBS Limited, Mr. Dart may be deemed to beneficially own the reported securities but disclaims such beneficial ownership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/s/Kenneth B Dart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1271" TargetMode="External"/><Relationship Id="rId5" Type="http://schemas.openxmlformats.org/officeDocument/2006/relationships/hyperlink" Target="http://www.sec.gov/cgi-bin/browse-edgar?action=getcompany&amp;CIK=00016353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752</Words>
  <Characters>4001</Characters>
  <CharactersWithSpaces>4690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