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Flutter Entertainment plc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7"/>
          <w:szCs w:val="17"/>
          <w:b w:val="1"/>
          <w:bCs w:val="1"/>
          <w:color w:val="auto"/>
        </w:rPr>
        <w:t>Ireland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001-37403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98-1782229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4" w:space="720"/>
            <w:col w:w="2620" w:space="720"/>
            <w:col w:w="2480"/>
          </w:cols>
          <w:pgMar w:left="436" w:top="376" w:right="439" w:bottom="1440" w:gutter="0" w:footer="0" w:header="0"/>
          <w:type w:val="continuous"/>
        </w:sectPr>
      </w:pPr>
    </w:p>
    <w:p>
      <w:pPr>
        <w:spacing w:after="0" w:line="28" w:lineRule="exact"/>
        <w:rPr>
          <w:sz w:val="24"/>
          <w:szCs w:val="24"/>
          <w:color w:val="auto"/>
        </w:rPr>
      </w:pPr>
    </w:p>
    <w:p>
      <w:pPr>
        <w:ind w:left="1964"/>
        <w:spacing w:after="0"/>
        <w:rPr>
          <w:sz w:val="20"/>
          <w:szCs w:val="20"/>
          <w:color w:val="auto"/>
        </w:rPr>
      </w:pPr>
      <w:r>
        <w:rPr>
          <w:rFonts w:ascii="Times New Roman" w:cs="Times New Roman" w:eastAsia="Times New Roman" w:hAnsi="Times New Roman"/>
          <w:sz w:val="17"/>
          <w:szCs w:val="17"/>
          <w:b w:val="1"/>
          <w:bCs w:val="1"/>
          <w:color w:val="auto"/>
        </w:rPr>
        <w:t>One Madison Avenue</w:t>
      </w:r>
    </w:p>
    <w:p>
      <w:pPr>
        <w:spacing w:after="0" w:line="43" w:lineRule="exact"/>
        <w:rPr>
          <w:sz w:val="24"/>
          <w:szCs w:val="24"/>
          <w:color w:val="auto"/>
        </w:rPr>
      </w:pPr>
    </w:p>
    <w:p>
      <w:pPr>
        <w:ind w:left="1964"/>
        <w:spacing w:after="0"/>
        <w:rPr>
          <w:sz w:val="20"/>
          <w:szCs w:val="20"/>
          <w:color w:val="auto"/>
        </w:rPr>
      </w:pPr>
      <w:r>
        <w:rPr>
          <w:rFonts w:ascii="Times New Roman" w:cs="Times New Roman" w:eastAsia="Times New Roman" w:hAnsi="Times New Roman"/>
          <w:sz w:val="17"/>
          <w:szCs w:val="17"/>
          <w:b w:val="1"/>
          <w:bCs w:val="1"/>
          <w:color w:val="auto"/>
        </w:rPr>
        <w:t>New York, New York</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10010</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930-0950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of €0.09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FLUT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June 12, 2026, Flutter Entertainment plc released, via the Regulatory News Service in London, an announcement (the “RNS Announcement”) regarding its intention to delist its ordinary shares from the London Stock Exchange, which is furnished as Exhibit 99.1 to this Form 8-K and is incorporated herein by reference.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91"/>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RNS Announcement dated June 12, 2026</w:t>
            </w:r>
          </w:p>
        </w:tc>
        <w:tc>
          <w:tcPr>
            <w:tcW w:w="2700" w:type="dxa"/>
            <w:vAlign w:val="bottom"/>
          </w:tcPr>
          <w:p>
            <w:pPr>
              <w:spacing w:after="0"/>
              <w:rPr>
                <w:sz w:val="24"/>
                <w:szCs w:val="24"/>
                <w:color w:val="auto"/>
              </w:rPr>
            </w:pPr>
          </w:p>
        </w:tc>
      </w:tr>
      <w:tr>
        <w:trPr>
          <w:trHeight w:val="34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The cover page of this Current Report on Form 8-K, formatted in Inline XBRL</w:t>
            </w:r>
          </w:p>
        </w:tc>
      </w:tr>
    </w:tbl>
    <w:p>
      <w:pPr>
        <w:sectPr>
          <w:pgSz w:w="11900" w:h="16838" w:orient="portrait"/>
          <w:cols w:equalWidth="0" w:num="1">
            <w:col w:w="10480"/>
          </w:cols>
          <w:pgMar w:left="440" w:top="293" w:right="9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80" w:type="dxa"/>
            <w:vAlign w:val="bottom"/>
          </w:tcPr>
          <w:p>
            <w:pPr>
              <w:spacing w:after="0"/>
              <w:rPr>
                <w:sz w:val="19"/>
                <w:szCs w:val="19"/>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Flutter Entertainment plc</w:t>
            </w:r>
          </w:p>
        </w:tc>
      </w:tr>
      <w:tr>
        <w:trPr>
          <w:trHeight w:val="234"/>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12, 2026</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Fiona Gildea</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Fiona Gildea</w:t>
            </w:r>
          </w:p>
        </w:tc>
      </w:tr>
      <w:tr>
        <w:trPr>
          <w:trHeight w:val="216"/>
        </w:trPr>
        <w:tc>
          <w:tcPr>
            <w:tcW w:w="3480" w:type="dxa"/>
            <w:vAlign w:val="bottom"/>
          </w:tcPr>
          <w:p>
            <w:pPr>
              <w:spacing w:after="0"/>
              <w:rPr>
                <w:sz w:val="18"/>
                <w:szCs w:val="18"/>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Deputy Company Secretary and</w:t>
            </w:r>
          </w:p>
        </w:tc>
      </w:tr>
      <w:tr>
        <w:trPr>
          <w:trHeight w:val="234"/>
        </w:trPr>
        <w:tc>
          <w:tcPr>
            <w:tcW w:w="3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Head of Governance</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Flutter Entertainment plc Announces Intention to Delist from the London Stock Exchange</w:t>
      </w:r>
    </w:p>
    <w:p>
      <w:pPr>
        <w:spacing w:after="0" w:line="22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color w:val="auto"/>
        </w:rPr>
        <w:t>New York, United States and Dublin, Ireland - June 12, 2026 - Flutter Entertainment plc (“</w:t>
      </w:r>
      <w:r>
        <w:rPr>
          <w:rFonts w:ascii="Times New Roman" w:cs="Times New Roman" w:eastAsia="Times New Roman" w:hAnsi="Times New Roman"/>
          <w:sz w:val="18"/>
          <w:szCs w:val="18"/>
          <w:b w:val="1"/>
          <w:bCs w:val="1"/>
          <w:color w:val="auto"/>
        </w:rPr>
        <w:t>Flutter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(NYSE: FLUT; LSE: FLTR), the world’s leading online sports betting and gaming company, today announces its intention to delist its ordinary shares from the London Stock Exchange (“</w:t>
      </w:r>
      <w:r>
        <w:rPr>
          <w:rFonts w:ascii="Times New Roman" w:cs="Times New Roman" w:eastAsia="Times New Roman" w:hAnsi="Times New Roman"/>
          <w:sz w:val="18"/>
          <w:szCs w:val="18"/>
          <w:b w:val="1"/>
          <w:bCs w:val="1"/>
          <w:color w:val="auto"/>
        </w:rPr>
        <w:t>LSE</w:t>
      </w:r>
      <w:r>
        <w:rPr>
          <w:rFonts w:ascii="Times New Roman" w:cs="Times New Roman" w:eastAsia="Times New Roman" w:hAnsi="Times New Roman"/>
          <w:sz w:val="18"/>
          <w:szCs w:val="18"/>
          <w:color w:val="auto"/>
        </w:rPr>
        <w:t>”) with effect from 8.00 a.m. (London time) on Monday August 3, 2026 (the “</w:t>
      </w:r>
      <w:r>
        <w:rPr>
          <w:rFonts w:ascii="Times New Roman" w:cs="Times New Roman" w:eastAsia="Times New Roman" w:hAnsi="Times New Roman"/>
          <w:sz w:val="18"/>
          <w:szCs w:val="18"/>
          <w:b w:val="1"/>
          <w:bCs w:val="1"/>
          <w:color w:val="auto"/>
        </w:rPr>
        <w:t>LSE Delisting</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Flutter’s shares will continue to be listed and admitted to trading on the New York Stock Exchange (“</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under the symbol “FLUT” following the LSE Delisting and, once the LSE Delisting takes effect, Flutter’s ordinary shares will only be listed on the NYSE.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to and Reasons for the LSE Delisting</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May 7, 2026, the Company announced, as part of its Q1 Financial Results, that it was undertaking a review of its LSE listing. As part of the review of its listing structures, the Company carefully considered, among other things, the level of trading activity in its shares on the LSE as well as the additional cost, and regulatory and administrative obligations arising from retaining the LSE listing, and concluded that it is in the best interests of the Company and its shareholders to proceed with the LSE Delisting.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LSE Delisting Process</w:t>
      </w:r>
    </w:p>
    <w:p>
      <w:pPr>
        <w:spacing w:after="0" w:line="11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color w:val="auto"/>
        </w:rPr>
        <w:t>The Company has requested the UK Financial Conduct Authority (“</w:t>
      </w:r>
      <w:r>
        <w:rPr>
          <w:rFonts w:ascii="Times New Roman" w:cs="Times New Roman" w:eastAsia="Times New Roman" w:hAnsi="Times New Roman"/>
          <w:sz w:val="18"/>
          <w:szCs w:val="18"/>
          <w:b w:val="1"/>
          <w:bCs w:val="1"/>
          <w:color w:val="auto"/>
        </w:rPr>
        <w:t>FCA</w:t>
      </w:r>
      <w:r>
        <w:rPr>
          <w:rFonts w:ascii="Times New Roman" w:cs="Times New Roman" w:eastAsia="Times New Roman" w:hAnsi="Times New Roman"/>
          <w:sz w:val="18"/>
          <w:szCs w:val="18"/>
          <w:color w:val="auto"/>
        </w:rPr>
        <w:t>”) to cancel the listing of its shares on the Official List of the FCA, and to request the LSE to cancel the admission to trading of those ordinary shares on the main market for listed securities of the LSE.</w:t>
      </w:r>
    </w:p>
    <w:p>
      <w:pPr>
        <w:spacing w:after="0" w:line="15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purposes of FCA Listing Rule 21.2.17, the Company is required to give at least 20 business days’ notice of the LSE Delisting. It is expected that the LSE Delisting will become effective at 8.00 a.m. (London time) on Monday August 3, 2026, such that the last day of trading in Flutter’s ordinary shares on the LSE will be Friday July 31,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Frequently Asked Questions and Shareholder Helpline</w:t>
      </w:r>
    </w:p>
    <w:p>
      <w:pPr>
        <w:spacing w:after="0" w:line="11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To assist shareholders in preparing for the LSE Delisting, the Company has prepared answers to Frequently Asked Questions (“</w:t>
      </w:r>
      <w:r>
        <w:rPr>
          <w:rFonts w:ascii="Times New Roman" w:cs="Times New Roman" w:eastAsia="Times New Roman" w:hAnsi="Times New Roman"/>
          <w:sz w:val="18"/>
          <w:szCs w:val="18"/>
          <w:b w:val="1"/>
          <w:bCs w:val="1"/>
          <w:color w:val="auto"/>
        </w:rPr>
        <w:t>FAQ</w:t>
      </w:r>
      <w:r>
        <w:rPr>
          <w:rFonts w:ascii="Times New Roman" w:cs="Times New Roman" w:eastAsia="Times New Roman" w:hAnsi="Times New Roman"/>
          <w:sz w:val="18"/>
          <w:szCs w:val="18"/>
          <w:color w:val="auto"/>
        </w:rPr>
        <w:t>”), including details of actions that shareholders holding depositary interests issued by Computershare should take to ensure the continued efficient management of their shareholding following the LSE Delisting. The FAQ are available on the Company’s website at https://flutter.com/investors/shareholder-information/london-stock-exchange-listing/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FAQ also includes contact details for the helplines available to assist shareholders.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Email: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 Relations: </w:t>
      </w:r>
      <w:r>
        <w:rPr>
          <w:rFonts w:ascii="Times New Roman" w:cs="Times New Roman" w:eastAsia="Times New Roman" w:hAnsi="Times New Roman"/>
          <w:sz w:val="18"/>
          <w:szCs w:val="18"/>
          <w:u w:val="single" w:color="auto"/>
          <w:color w:val="auto"/>
        </w:rPr>
        <w:t>Investor.relations@flutter.com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Corporate Communications: </w:t>
      </w:r>
      <w:r>
        <w:rPr>
          <w:rFonts w:ascii="Times New Roman" w:cs="Times New Roman" w:eastAsia="Times New Roman" w:hAnsi="Times New Roman"/>
          <w:sz w:val="18"/>
          <w:szCs w:val="18"/>
          <w:u w:val="single" w:color="auto"/>
          <w:color w:val="auto"/>
        </w:rPr>
        <w:t>corporatecomms@flutter.com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 Secretarial: </w:t>
      </w:r>
      <w:r>
        <w:rPr>
          <w:rFonts w:ascii="Times New Roman" w:cs="Times New Roman" w:eastAsia="Times New Roman" w:hAnsi="Times New Roman"/>
          <w:sz w:val="18"/>
          <w:szCs w:val="18"/>
          <w:u w:val="single" w:color="auto"/>
          <w:color w:val="auto"/>
        </w:rPr>
        <w:t>cosec@flutter.com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Flutter Entertainment plc</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Flutter is the world’s leading online sports betting and iGaming operator, with a market leading position in the US and across the world. Our ambition is to leverage our size and our challenger mindset to change our industry for the better. By Changing the Game, we believe we can deliver long-term growth while promoting a positive, sustainable future for all our stakeholders. We are well-placed to do so through the distinctive, global advantages of the Flutter Edge, which gives our brands access to group-wide benefits, as well as our clear vision for sustainability through our Positive Impact Plan.</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Flutter operates a diverse portfolio of leading online sports betting and iGaming brands including FanDuel, Sky Betting &amp; Gaming, Sportsbet, PokerStars, Paddy Power, Sisal, Snai, tombola, Betfair, MaxBet, Junglee Games, Adjarabet and Betnacional. We are the industry leader with $16,383m of revenue globally for fiscal 2025, up 17% YoY, and $4,304m of revenue globally for the quarter ended March 31,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announcement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In some cases, you can identify these forward-looking statements by the use of words such as “expect(s)”, “intends”, “potential”, “continue(s)”, “may”, “will”, “should”, “could”, “would”, “seek(s)”, “predict(s)”, “intend(s)”, “trends”, “plan(s)”, “estimate(s)”, “anticipates”, “will likely result”, and or the negative version of these words or other comparable words of a future or forward-looking nature. Such forward-looking statements are subject to various risks and uncertainties and there are or will be important factors that could cause actual outcomes or results to differ materially from those indicated in these statements. In particular, statements regarding the expected timing and benefits of the LSE Delisting are forward-looking in nature. Actual results or developments may differ materially from those expressed in, or implied by, the forward-looking statements. In addition, we may incur additional or unexpected costs in connection with the matters discussed in this announcement.</w:t>
      </w:r>
    </w:p>
    <w:p>
      <w:pPr>
        <w:sectPr>
          <w:pgSz w:w="11900" w:h="16838" w:orient="portrait"/>
          <w:cols w:equalWidth="0" w:num="1">
            <w:col w:w="10960"/>
          </w:cols>
          <w:pgMar w:left="440" w:top="270" w:right="499" w:bottom="1440" w:gutter="0" w:footer="0" w:header="0"/>
        </w:sectPr>
      </w:pPr>
    </w:p>
    <w:bookmarkStart w:id="5" w:name="page6"/>
    <w:bookmarkEnd w:id="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Factors that could cause Flutter’s results and developments to differ materially from those described in the forward-looking statements can be found in Part I, “Item 1A. Risk Factors” of Flutter’s Annual Report on Form 10-K for the fiscal year ended December 31, 2025 as filed with the Securities and Exchange Commission (the “SEC”) and other periodic filings with the SEC, which are accessible on the SEC’s website at www.sec.gov. Flutter undertakes no obligation to publicly update or review any forward-looking statement, whether as a result of new information, future developments or otherwise, except as required by law.</w:t>
      </w:r>
    </w:p>
    <w:sectPr>
      <w:pgSz w:w="11900" w:h="16838" w:orient="portrait"/>
      <w:cols w:equalWidth="0" w:num="1">
        <w:col w:w="10840"/>
      </w:cols>
      <w:pgMar w:left="440" w:top="27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2026-06-12T05:08:38Z</dcterms:created>
  <dcterms:modified xsi:type="dcterms:W3CDTF">2026-06-12T05:08:38Z</dcterms:modified>
</cp:coreProperties>
</file>